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p14">
  <w:body>
    <w:p w:rsidRPr="00862B30" w:rsidR="006700FD" w:rsidP="006700FD" w:rsidRDefault="006700FD" w14:paraId="7D3BFBD3" w14:textId="06AE42CB">
      <w:pPr>
        <w:pStyle w:val="CRCoverPage"/>
        <w:tabs>
          <w:tab w:val="right" w:pos="9639"/>
        </w:tabs>
        <w:spacing w:after="0"/>
        <w:rPr>
          <w:b/>
          <w:i/>
          <w:noProof/>
          <w:sz w:val="28"/>
          <w:lang w:val="en-US"/>
        </w:rPr>
      </w:pPr>
      <w:r w:rsidRPr="00862B30">
        <w:rPr>
          <w:b/>
          <w:noProof/>
          <w:sz w:val="24"/>
          <w:lang w:val="en-US"/>
        </w:rPr>
        <w:t>3GPP TSG-</w:t>
      </w:r>
      <w:r w:rsidRPr="00862B30" w:rsidR="00ED6D73">
        <w:rPr>
          <w:lang w:val="en-US"/>
        </w:rPr>
        <w:fldChar w:fldCharType="begin"/>
      </w:r>
      <w:r w:rsidRPr="00862B30" w:rsidR="00ED6D73">
        <w:rPr>
          <w:lang w:val="en-US"/>
        </w:rPr>
        <w:instrText xml:space="preserve"> DOCPROPERTY  TSG/WGRef  \* MERGEFORMAT </w:instrText>
      </w:r>
      <w:r w:rsidRPr="00862B30" w:rsidR="00ED6D73">
        <w:rPr>
          <w:lang w:val="en-US"/>
        </w:rPr>
        <w:fldChar w:fldCharType="separate"/>
      </w:r>
      <w:r w:rsidRPr="00862B30">
        <w:rPr>
          <w:b/>
          <w:noProof/>
          <w:sz w:val="24"/>
          <w:lang w:val="en-US"/>
        </w:rPr>
        <w:t>RAN WG4</w:t>
      </w:r>
      <w:r w:rsidRPr="00862B30" w:rsidR="00ED6D73">
        <w:rPr>
          <w:b/>
          <w:noProof/>
          <w:sz w:val="24"/>
          <w:lang w:val="en-US"/>
        </w:rPr>
        <w:fldChar w:fldCharType="end"/>
      </w:r>
      <w:r w:rsidRPr="00862B30">
        <w:rPr>
          <w:b/>
          <w:noProof/>
          <w:sz w:val="24"/>
          <w:lang w:val="en-US"/>
        </w:rPr>
        <w:t xml:space="preserve"> Meeting #</w:t>
      </w:r>
      <w:r w:rsidRPr="00862B30" w:rsidR="00ED6D73">
        <w:rPr>
          <w:lang w:val="en-US"/>
        </w:rPr>
        <w:fldChar w:fldCharType="begin"/>
      </w:r>
      <w:r w:rsidRPr="00862B30" w:rsidR="00ED6D73">
        <w:rPr>
          <w:lang w:val="en-US"/>
        </w:rPr>
        <w:instrText xml:space="preserve"> DOCPROPERTY  MtgSeq  \* MERGEFORMAT </w:instrText>
      </w:r>
      <w:r w:rsidRPr="00862B30" w:rsidR="00ED6D73">
        <w:rPr>
          <w:lang w:val="en-US"/>
        </w:rPr>
        <w:fldChar w:fldCharType="separate"/>
      </w:r>
      <w:r w:rsidRPr="00862B30">
        <w:rPr>
          <w:b/>
          <w:noProof/>
          <w:sz w:val="24"/>
          <w:lang w:val="en-US"/>
        </w:rPr>
        <w:t>10</w:t>
      </w:r>
      <w:r w:rsidRPr="00862B30" w:rsidR="00ED6D73">
        <w:rPr>
          <w:b/>
          <w:noProof/>
          <w:sz w:val="24"/>
          <w:lang w:val="en-US"/>
        </w:rPr>
        <w:fldChar w:fldCharType="end"/>
      </w:r>
      <w:r w:rsidRPr="00862B30">
        <w:rPr>
          <w:b/>
          <w:noProof/>
          <w:sz w:val="24"/>
          <w:lang w:val="en-US"/>
        </w:rPr>
        <w:t>2</w:t>
      </w:r>
      <w:r w:rsidRPr="00862B30" w:rsidR="00ED6D73">
        <w:rPr>
          <w:lang w:val="en-US"/>
        </w:rPr>
        <w:fldChar w:fldCharType="begin"/>
      </w:r>
      <w:r w:rsidRPr="00862B30" w:rsidR="00ED6D73">
        <w:rPr>
          <w:lang w:val="en-US"/>
        </w:rPr>
        <w:instrText xml:space="preserve"> DOCPROPERTY  MtgTitle  \* MERGEFORMAT </w:instrText>
      </w:r>
      <w:r w:rsidRPr="00862B30" w:rsidR="00ED6D73">
        <w:rPr>
          <w:lang w:val="en-US"/>
        </w:rPr>
        <w:fldChar w:fldCharType="separate"/>
      </w:r>
      <w:r w:rsidRPr="00862B30">
        <w:rPr>
          <w:b/>
          <w:noProof/>
          <w:sz w:val="24"/>
          <w:lang w:val="en-US"/>
        </w:rPr>
        <w:t>-e</w:t>
      </w:r>
      <w:r w:rsidRPr="00862B30" w:rsidR="00ED6D73">
        <w:rPr>
          <w:b/>
          <w:noProof/>
          <w:sz w:val="24"/>
          <w:lang w:val="en-US"/>
        </w:rPr>
        <w:fldChar w:fldCharType="end"/>
      </w:r>
      <w:r w:rsidRPr="00862B30">
        <w:rPr>
          <w:b/>
          <w:i/>
          <w:noProof/>
          <w:sz w:val="28"/>
          <w:lang w:val="en-US"/>
        </w:rPr>
        <w:tab/>
      </w:r>
      <w:r w:rsidRPr="00766AF3" w:rsidR="00766AF3">
        <w:rPr>
          <w:b/>
          <w:i/>
          <w:noProof/>
          <w:sz w:val="24"/>
          <w:lang w:val="en-US"/>
        </w:rPr>
        <w:t>R4-2205039</w:t>
      </w:r>
    </w:p>
    <w:p w:rsidRPr="00862B30" w:rsidR="006700FD" w:rsidP="006700FD" w:rsidRDefault="006700FD" w14:paraId="0138D846" w14:textId="77777777">
      <w:pPr>
        <w:pStyle w:val="CRCoverPage"/>
        <w:outlineLvl w:val="0"/>
        <w:rPr>
          <w:b/>
          <w:noProof/>
          <w:sz w:val="24"/>
          <w:lang w:val="en-US"/>
        </w:rPr>
      </w:pPr>
      <w:r w:rsidRPr="00862B30">
        <w:rPr>
          <w:b/>
          <w:noProof/>
          <w:sz w:val="24"/>
          <w:lang w:val="en-US"/>
        </w:rPr>
        <w:t xml:space="preserve">Electronic meeting, </w:t>
      </w:r>
      <w:r w:rsidRPr="00862B30">
        <w:rPr>
          <w:b/>
          <w:noProof/>
          <w:sz w:val="24"/>
          <w:lang w:val="en-US" w:eastAsia="zh-CN"/>
        </w:rPr>
        <w:t xml:space="preserve">Feb. </w:t>
      </w:r>
      <w:r w:rsidRPr="00862B30">
        <w:rPr>
          <w:b/>
          <w:noProof/>
          <w:sz w:val="24"/>
          <w:lang w:val="en-US"/>
        </w:rPr>
        <w:t xml:space="preserve">21 – </w:t>
      </w:r>
      <w:r w:rsidRPr="00862B30">
        <w:rPr>
          <w:b/>
          <w:noProof/>
          <w:sz w:val="24"/>
          <w:lang w:val="en-US" w:eastAsia="zh-CN"/>
        </w:rPr>
        <w:t>Mar.03</w:t>
      </w:r>
      <w:r w:rsidRPr="00862B30">
        <w:rPr>
          <w:b/>
          <w:noProof/>
          <w:sz w:val="24"/>
          <w:lang w:val="en-US"/>
        </w:rPr>
        <w:t>, 202</w:t>
      </w:r>
      <w:r w:rsidRPr="00862B30">
        <w:rPr>
          <w:b/>
          <w:noProof/>
          <w:sz w:val="24"/>
          <w:lang w:val="en-US" w:eastAsia="zh-CN"/>
        </w:rPr>
        <w:t>2</w:t>
      </w:r>
    </w:p>
    <w:p w:rsidRPr="00862B30" w:rsidR="008F7DD8" w:rsidP="008F7DD8" w:rsidRDefault="008F7DD8" w14:paraId="156C77A9" w14:textId="77777777">
      <w:pPr>
        <w:tabs>
          <w:tab w:val="left" w:pos="1985"/>
        </w:tabs>
        <w:ind w:left="1985" w:hanging="1985"/>
        <w:rPr>
          <w:rFonts w:ascii="Arial" w:hAnsi="Arial" w:eastAsia="Calibri" w:cs="Arial"/>
          <w:b/>
          <w:bCs/>
          <w:sz w:val="24"/>
        </w:rPr>
      </w:pPr>
      <w:r w:rsidRPr="00862B30">
        <w:rPr>
          <w:rFonts w:ascii="Arial" w:hAnsi="Arial" w:eastAsia="Calibri" w:cs="Arial"/>
          <w:b/>
          <w:bCs/>
          <w:sz w:val="24"/>
        </w:rPr>
        <w:t>Source:</w:t>
      </w:r>
      <w:r w:rsidRPr="00862B30">
        <w:rPr>
          <w:rFonts w:ascii="Arial" w:hAnsi="Arial" w:eastAsia="Calibri" w:cs="Arial"/>
          <w:b/>
          <w:bCs/>
          <w:sz w:val="24"/>
        </w:rPr>
        <w:tab/>
      </w:r>
      <w:r w:rsidRPr="00862B30">
        <w:rPr>
          <w:rFonts w:ascii="Arial" w:hAnsi="Arial" w:eastAsia="Calibri" w:cs="Arial"/>
          <w:b/>
          <w:bCs/>
          <w:sz w:val="24"/>
        </w:rPr>
        <w:t>Nokia, Nokia Shanghai Bell</w:t>
      </w:r>
      <w:r w:rsidRPr="00862B30" w:rsidDel="00636277">
        <w:rPr>
          <w:rFonts w:ascii="Arial" w:hAnsi="Arial" w:eastAsia="Calibri" w:cs="Arial"/>
          <w:b/>
          <w:bCs/>
          <w:sz w:val="24"/>
        </w:rPr>
        <w:t xml:space="preserve"> </w:t>
      </w:r>
    </w:p>
    <w:p w:rsidRPr="00862B30" w:rsidR="008F7DD8" w:rsidP="008F7DD8" w:rsidRDefault="008F7DD8" w14:paraId="7D375ABE" w14:textId="2AC3C89B">
      <w:pPr>
        <w:ind w:left="1985" w:hanging="1985"/>
        <w:rPr>
          <w:rFonts w:ascii="Arial" w:hAnsi="Arial" w:eastAsia="Calibri" w:cs="Arial"/>
          <w:b/>
          <w:bCs/>
          <w:sz w:val="24"/>
        </w:rPr>
      </w:pPr>
      <w:r w:rsidRPr="00862B30">
        <w:rPr>
          <w:rFonts w:ascii="Arial" w:hAnsi="Arial" w:eastAsia="Calibri" w:cs="Arial"/>
          <w:b/>
          <w:bCs/>
          <w:sz w:val="24"/>
        </w:rPr>
        <w:t>Title:</w:t>
      </w:r>
      <w:r w:rsidRPr="00862B30">
        <w:rPr>
          <w:rFonts w:ascii="Arial" w:hAnsi="Arial" w:eastAsia="Calibri" w:cs="Arial"/>
          <w:b/>
          <w:bCs/>
          <w:sz w:val="24"/>
        </w:rPr>
        <w:tab/>
      </w:r>
      <w:r w:rsidRPr="00862B30" w:rsidR="00A438AC">
        <w:rPr>
          <w:rFonts w:ascii="Arial" w:hAnsi="Arial" w:eastAsia="Calibri" w:cs="Arial"/>
          <w:b/>
          <w:bCs/>
          <w:sz w:val="24"/>
        </w:rPr>
        <w:t xml:space="preserve">Discussion on </w:t>
      </w:r>
      <w:r w:rsidRPr="00862B30" w:rsidR="009419BD">
        <w:rPr>
          <w:rFonts w:ascii="Arial" w:hAnsi="Arial" w:eastAsia="Calibri" w:cs="Arial"/>
          <w:b/>
          <w:bCs/>
          <w:sz w:val="24"/>
        </w:rPr>
        <w:t>requirements of</w:t>
      </w:r>
      <w:r w:rsidRPr="00862B30" w:rsidR="009A1254">
        <w:rPr>
          <w:rFonts w:ascii="Arial" w:hAnsi="Arial" w:eastAsia="Calibri" w:cs="Arial"/>
          <w:b/>
          <w:bCs/>
          <w:sz w:val="24"/>
        </w:rPr>
        <w:t xml:space="preserve"> </w:t>
      </w:r>
      <w:r w:rsidRPr="00862B30" w:rsidR="00CE22B2">
        <w:rPr>
          <w:rFonts w:ascii="Arial" w:hAnsi="Arial" w:eastAsia="Calibri" w:cs="Arial"/>
          <w:b/>
          <w:bCs/>
          <w:sz w:val="24"/>
        </w:rPr>
        <w:t>unified TCI for DL and UL</w:t>
      </w:r>
    </w:p>
    <w:p w:rsidRPr="00862B30" w:rsidR="00CE22B2" w:rsidP="00CE22B2" w:rsidRDefault="008F7DD8" w14:paraId="1F33C291" w14:textId="2D13D0BF">
      <w:pPr>
        <w:tabs>
          <w:tab w:val="left" w:pos="1985"/>
        </w:tabs>
        <w:spacing w:after="120" w:line="240" w:lineRule="auto"/>
        <w:rPr>
          <w:rFonts w:ascii="Arial" w:hAnsi="Arial" w:eastAsia="MS Mincho" w:cs="Arial"/>
          <w:b/>
          <w:bCs/>
          <w:sz w:val="24"/>
          <w:szCs w:val="20"/>
        </w:rPr>
      </w:pPr>
      <w:r w:rsidRPr="00862B30">
        <w:rPr>
          <w:rFonts w:ascii="Arial" w:hAnsi="Arial" w:eastAsia="MS Mincho" w:cs="Arial"/>
          <w:b/>
          <w:bCs/>
          <w:sz w:val="24"/>
          <w:szCs w:val="20"/>
        </w:rPr>
        <w:t>Agenda item:</w:t>
      </w:r>
      <w:r w:rsidRPr="00862B30">
        <w:rPr>
          <w:rFonts w:ascii="Arial" w:hAnsi="Arial" w:eastAsia="MS Mincho" w:cs="Arial"/>
          <w:b/>
          <w:bCs/>
          <w:sz w:val="24"/>
          <w:szCs w:val="20"/>
        </w:rPr>
        <w:tab/>
      </w:r>
      <w:r w:rsidR="00485A45">
        <w:rPr>
          <w:rFonts w:ascii="Arial" w:hAnsi="Arial" w:eastAsia="MS Mincho" w:cs="Arial"/>
          <w:b/>
          <w:bCs/>
          <w:sz w:val="24"/>
          <w:szCs w:val="20"/>
        </w:rPr>
        <w:t>10</w:t>
      </w:r>
      <w:r w:rsidRPr="00862B30" w:rsidR="00CE22B2">
        <w:rPr>
          <w:rFonts w:ascii="Arial" w:hAnsi="Arial" w:eastAsia="MS Mincho" w:cs="Arial"/>
          <w:b/>
          <w:bCs/>
          <w:sz w:val="24"/>
          <w:szCs w:val="20"/>
        </w:rPr>
        <w:t>.19.3.</w:t>
      </w:r>
      <w:r w:rsidR="001D5DF5">
        <w:rPr>
          <w:rFonts w:ascii="Arial" w:hAnsi="Arial" w:eastAsia="MS Mincho" w:cs="Arial"/>
          <w:b/>
          <w:bCs/>
          <w:sz w:val="24"/>
          <w:szCs w:val="20"/>
        </w:rPr>
        <w:t>1</w:t>
      </w:r>
    </w:p>
    <w:p w:rsidRPr="00862B30" w:rsidR="008F7DD8" w:rsidP="00CE22B2" w:rsidRDefault="008F7DD8" w14:paraId="758B3BD0" w14:textId="20C42107">
      <w:pPr>
        <w:tabs>
          <w:tab w:val="left" w:pos="1985"/>
        </w:tabs>
        <w:spacing w:after="120" w:line="240" w:lineRule="auto"/>
        <w:rPr>
          <w:rFonts w:ascii="Arial" w:hAnsi="Arial" w:eastAsia="Calibri" w:cs="Arial"/>
          <w:b/>
          <w:bCs/>
          <w:sz w:val="24"/>
        </w:rPr>
      </w:pPr>
      <w:r w:rsidRPr="00862B30">
        <w:rPr>
          <w:rFonts w:ascii="Arial" w:hAnsi="Arial" w:eastAsia="Calibri" w:cs="Arial"/>
          <w:b/>
          <w:bCs/>
          <w:sz w:val="24"/>
        </w:rPr>
        <w:t>Document for:</w:t>
      </w:r>
      <w:r w:rsidRPr="00862B30">
        <w:rPr>
          <w:rFonts w:ascii="Arial" w:hAnsi="Arial" w:eastAsia="Calibri" w:cs="Arial"/>
          <w:b/>
          <w:bCs/>
          <w:sz w:val="24"/>
        </w:rPr>
        <w:tab/>
      </w:r>
      <w:r w:rsidRPr="00862B30" w:rsidR="00A438AC">
        <w:rPr>
          <w:rFonts w:ascii="Arial" w:hAnsi="Arial" w:eastAsia="Calibri" w:cs="Arial"/>
          <w:b/>
          <w:bCs/>
          <w:sz w:val="24"/>
        </w:rPr>
        <w:t>Discussion</w:t>
      </w:r>
    </w:p>
    <w:p w:rsidRPr="00862B30" w:rsidR="008F7DD8" w:rsidP="008F7DD8" w:rsidRDefault="008F7DD8" w14:paraId="79828003" w14:textId="77777777">
      <w:pPr>
        <w:pStyle w:val="RAN4H1"/>
        <w:rPr>
          <w:lang w:val="en-US"/>
        </w:rPr>
      </w:pPr>
      <w:r w:rsidRPr="00862B30">
        <w:rPr>
          <w:lang w:val="en-US"/>
        </w:rPr>
        <w:t>Intro</w:t>
      </w:r>
      <w:r w:rsidRPr="00862B30">
        <w:rPr>
          <w:rStyle w:val="RAN4H1Char"/>
          <w:lang w:val="en-US"/>
        </w:rPr>
        <w:t>ductio</w:t>
      </w:r>
      <w:r w:rsidRPr="00862B30">
        <w:rPr>
          <w:lang w:val="en-US"/>
        </w:rPr>
        <w:t>n</w:t>
      </w:r>
    </w:p>
    <w:p w:rsidRPr="00862B30" w:rsidR="00153607" w:rsidP="00153607" w:rsidRDefault="00153607" w14:paraId="38623285" w14:textId="501818DC">
      <w:pPr>
        <w:rPr>
          <w:rFonts w:eastAsia="Calibri" w:cs="Times New Roman"/>
          <w:szCs w:val="20"/>
        </w:rPr>
      </w:pPr>
      <w:r w:rsidRPr="00862B30">
        <w:rPr>
          <w:rFonts w:eastAsia="Calibri" w:cs="Times New Roman"/>
          <w:szCs w:val="20"/>
        </w:rPr>
        <w:t>RAN4#10</w:t>
      </w:r>
      <w:r w:rsidRPr="00862B30" w:rsidR="003A74E5">
        <w:rPr>
          <w:rFonts w:eastAsia="Calibri" w:cs="Times New Roman"/>
          <w:szCs w:val="20"/>
        </w:rPr>
        <w:t>1bis</w:t>
      </w:r>
      <w:r w:rsidRPr="00862B30">
        <w:rPr>
          <w:rFonts w:eastAsia="Calibri" w:cs="Times New Roman"/>
          <w:szCs w:val="20"/>
        </w:rPr>
        <w:t xml:space="preserve"> </w:t>
      </w:r>
      <w:r w:rsidRPr="00862B30" w:rsidR="003A74E5">
        <w:rPr>
          <w:rFonts w:eastAsia="Calibri" w:cs="Times New Roman"/>
          <w:szCs w:val="20"/>
        </w:rPr>
        <w:t xml:space="preserve">continued to discuss </w:t>
      </w:r>
      <w:r w:rsidRPr="00862B30">
        <w:rPr>
          <w:rFonts w:eastAsia="Calibri" w:cs="Times New Roman"/>
          <w:szCs w:val="20"/>
        </w:rPr>
        <w:t xml:space="preserve">Rel-17 </w:t>
      </w:r>
      <w:proofErr w:type="spellStart"/>
      <w:r w:rsidRPr="00862B30">
        <w:rPr>
          <w:rFonts w:eastAsia="Calibri" w:cs="Times New Roman"/>
          <w:szCs w:val="20"/>
        </w:rPr>
        <w:t>feMIMO</w:t>
      </w:r>
      <w:proofErr w:type="spellEnd"/>
      <w:r w:rsidRPr="00862B30">
        <w:rPr>
          <w:rFonts w:eastAsia="Calibri" w:cs="Times New Roman"/>
          <w:szCs w:val="20"/>
        </w:rPr>
        <w:t xml:space="preserve"> WI to </w:t>
      </w:r>
      <w:r w:rsidRPr="00862B30" w:rsidR="003A74E5">
        <w:rPr>
          <w:rFonts w:eastAsia="Calibri" w:cs="Times New Roman"/>
          <w:szCs w:val="20"/>
        </w:rPr>
        <w:t xml:space="preserve">specify </w:t>
      </w:r>
      <w:r w:rsidRPr="00862B30">
        <w:rPr>
          <w:rFonts w:eastAsia="Calibri" w:cs="Times New Roman"/>
          <w:szCs w:val="20"/>
        </w:rPr>
        <w:t>RRM core requirements.  In RAN4 #101</w:t>
      </w:r>
      <w:r w:rsidRPr="00862B30" w:rsidR="004017D7">
        <w:rPr>
          <w:rFonts w:eastAsia="Calibri" w:cs="Times New Roman"/>
          <w:szCs w:val="20"/>
        </w:rPr>
        <w:t>bis-</w:t>
      </w:r>
      <w:r w:rsidRPr="00862B30">
        <w:rPr>
          <w:rFonts w:eastAsia="Calibri" w:cs="Times New Roman"/>
          <w:szCs w:val="20"/>
        </w:rPr>
        <w:t xml:space="preserve">e meeting, companies mainly discussed RRM requirements of items </w:t>
      </w:r>
      <w:proofErr w:type="gramStart"/>
      <w:r w:rsidRPr="00862B30">
        <w:rPr>
          <w:rFonts w:eastAsia="Calibri" w:cs="Times New Roman"/>
          <w:szCs w:val="20"/>
        </w:rPr>
        <w:t>below :</w:t>
      </w:r>
      <w:proofErr w:type="gramEnd"/>
    </w:p>
    <w:p w:rsidRPr="00862B30" w:rsidR="00153607" w:rsidP="00153607" w:rsidRDefault="00153607" w14:paraId="2A38F275" w14:textId="77777777">
      <w:pPr>
        <w:pStyle w:val="ListParagraph"/>
        <w:numPr>
          <w:ilvl w:val="0"/>
          <w:numId w:val="27"/>
        </w:numPr>
        <w:spacing w:line="254" w:lineRule="auto"/>
        <w:rPr>
          <w:rFonts w:eastAsia="Calibri" w:cs="Times New Roman"/>
          <w:szCs w:val="20"/>
        </w:rPr>
      </w:pPr>
      <w:r w:rsidRPr="00862B30">
        <w:rPr>
          <w:rFonts w:eastAsia="Calibri" w:cs="Times New Roman"/>
          <w:szCs w:val="20"/>
        </w:rPr>
        <w:t>TCI switching delay requirements under Rel-17 unified TCI framework</w:t>
      </w:r>
    </w:p>
    <w:p w:rsidRPr="00862B30" w:rsidR="00153607" w:rsidP="00153607" w:rsidRDefault="00153607" w14:paraId="65BA39AF" w14:textId="77777777">
      <w:pPr>
        <w:pStyle w:val="ListParagraph"/>
        <w:numPr>
          <w:ilvl w:val="0"/>
          <w:numId w:val="27"/>
        </w:numPr>
        <w:spacing w:line="254" w:lineRule="auto"/>
        <w:rPr>
          <w:rFonts w:eastAsia="Calibri" w:cs="Times New Roman"/>
          <w:szCs w:val="20"/>
        </w:rPr>
      </w:pPr>
      <w:r w:rsidRPr="00862B30">
        <w:rPr>
          <w:rFonts w:eastAsia="Calibri" w:cs="Times New Roman"/>
          <w:szCs w:val="20"/>
        </w:rPr>
        <w:t>L1 measurement requirements for inter-cell beam management</w:t>
      </w:r>
    </w:p>
    <w:p w:rsidRPr="00862B30" w:rsidR="00153607" w:rsidP="00153607" w:rsidRDefault="00153607" w14:paraId="3443DDD8" w14:textId="750D04E6">
      <w:pPr>
        <w:pStyle w:val="ListParagraph"/>
        <w:numPr>
          <w:ilvl w:val="0"/>
          <w:numId w:val="27"/>
        </w:numPr>
        <w:spacing w:line="254" w:lineRule="auto"/>
        <w:rPr>
          <w:rFonts w:eastAsia="Calibri" w:cs="Times New Roman"/>
          <w:szCs w:val="20"/>
        </w:rPr>
      </w:pPr>
      <w:proofErr w:type="gramStart"/>
      <w:r w:rsidRPr="00862B30">
        <w:rPr>
          <w:rFonts w:eastAsia="Calibri" w:cs="Times New Roman"/>
          <w:szCs w:val="20"/>
        </w:rPr>
        <w:t>Others :</w:t>
      </w:r>
      <w:proofErr w:type="gramEnd"/>
      <w:r w:rsidRPr="00862B30">
        <w:rPr>
          <w:rFonts w:eastAsia="Calibri" w:cs="Times New Roman"/>
          <w:szCs w:val="20"/>
        </w:rPr>
        <w:t xml:space="preserve"> </w:t>
      </w:r>
      <w:r w:rsidRPr="00862B30">
        <w:rPr>
          <w:bCs/>
          <w:lang w:eastAsia="en-GB"/>
        </w:rPr>
        <w:t>BFD/CBD/BFRQ</w:t>
      </w:r>
      <w:r w:rsidRPr="00862B30">
        <w:rPr>
          <w:rFonts w:eastAsia="Calibri" w:cs="Times New Roman"/>
          <w:szCs w:val="20"/>
        </w:rPr>
        <w:t xml:space="preserve"> </w:t>
      </w:r>
      <w:r w:rsidRPr="00862B30" w:rsidR="00526188">
        <w:rPr>
          <w:rFonts w:eastAsia="Calibri" w:cs="Times New Roman"/>
          <w:szCs w:val="20"/>
        </w:rPr>
        <w:t xml:space="preserve"> and QCL</w:t>
      </w:r>
    </w:p>
    <w:p w:rsidRPr="00862B30" w:rsidR="00153607" w:rsidP="00153607" w:rsidRDefault="004017D7" w14:paraId="2AA27732" w14:textId="6E577F6E">
      <w:r w:rsidRPr="00862B30">
        <w:rPr>
          <w:rFonts w:eastAsia="Calibri" w:cs="Times New Roman"/>
          <w:szCs w:val="20"/>
        </w:rPr>
        <w:t xml:space="preserve">In this contribution, we provide our view on remaining issues on </w:t>
      </w:r>
      <w:r w:rsidRPr="00862B30" w:rsidR="0042521D">
        <w:rPr>
          <w:rFonts w:eastAsia="Calibri" w:cs="Times New Roman"/>
          <w:szCs w:val="20"/>
        </w:rPr>
        <w:t>TCI switching delay requirements</w:t>
      </w:r>
      <w:r w:rsidRPr="00862B30">
        <w:t>, especially</w:t>
      </w:r>
      <w:r w:rsidRPr="00862B30" w:rsidR="0042521D">
        <w:t xml:space="preserve"> on conditions to apply TCI switching delay requirements</w:t>
      </w:r>
      <w:r w:rsidRPr="00862B30">
        <w:t xml:space="preserve">. </w:t>
      </w:r>
      <w:r w:rsidRPr="00862B30" w:rsidR="0042521D">
        <w:rPr>
          <w:rFonts w:eastAsia="Calibri" w:cs="Times New Roman"/>
          <w:szCs w:val="20"/>
        </w:rPr>
        <w:t xml:space="preserve">RAN4 introduces </w:t>
      </w:r>
      <w:r w:rsidRPr="00862B30" w:rsidR="00255F49">
        <w:rPr>
          <w:rFonts w:eastAsia="Calibri" w:cs="Times New Roman"/>
          <w:szCs w:val="20"/>
        </w:rPr>
        <w:t xml:space="preserve">TCI switching </w:t>
      </w:r>
      <w:r w:rsidRPr="00862B30" w:rsidR="0042521D">
        <w:rPr>
          <w:rFonts w:eastAsia="Calibri" w:cs="Times New Roman"/>
          <w:szCs w:val="20"/>
        </w:rPr>
        <w:t xml:space="preserve">delay requirements based on RAN1 agreements, some of </w:t>
      </w:r>
      <w:r w:rsidRPr="00862B30" w:rsidR="00255F49">
        <w:rPr>
          <w:rFonts w:eastAsia="Calibri" w:cs="Times New Roman"/>
          <w:szCs w:val="20"/>
        </w:rPr>
        <w:t>behaviors</w:t>
      </w:r>
      <w:r w:rsidRPr="00862B30" w:rsidR="0042521D">
        <w:rPr>
          <w:rFonts w:eastAsia="Calibri" w:cs="Times New Roman"/>
          <w:szCs w:val="20"/>
        </w:rPr>
        <w:t xml:space="preserve"> and assumption </w:t>
      </w:r>
      <w:r w:rsidRPr="00862B30" w:rsidR="00255F49">
        <w:rPr>
          <w:rFonts w:eastAsia="Calibri" w:cs="Times New Roman"/>
          <w:szCs w:val="20"/>
        </w:rPr>
        <w:t>require further clarification.</w:t>
      </w:r>
      <w:r w:rsidRPr="00862B30" w:rsidR="0042521D">
        <w:rPr>
          <w:rFonts w:eastAsia="Calibri" w:cs="Times New Roman"/>
          <w:szCs w:val="20"/>
        </w:rPr>
        <w:t xml:space="preserve"> </w:t>
      </w:r>
      <w:r w:rsidRPr="00862B30" w:rsidR="00255F49">
        <w:rPr>
          <w:rFonts w:eastAsia="Calibri" w:cs="Times New Roman"/>
          <w:szCs w:val="20"/>
        </w:rPr>
        <w:t>W</w:t>
      </w:r>
      <w:r w:rsidRPr="00862B30" w:rsidR="0042521D">
        <w:rPr>
          <w:rFonts w:eastAsia="Calibri" w:cs="Times New Roman"/>
          <w:szCs w:val="20"/>
        </w:rPr>
        <w:t>e further discuss</w:t>
      </w:r>
      <w:r w:rsidRPr="00862B30" w:rsidR="00255F49">
        <w:rPr>
          <w:rFonts w:eastAsia="Calibri" w:cs="Times New Roman"/>
          <w:szCs w:val="20"/>
        </w:rPr>
        <w:t xml:space="preserve"> the remaining issues </w:t>
      </w:r>
      <w:r w:rsidRPr="00862B30" w:rsidR="0042521D">
        <w:rPr>
          <w:rFonts w:eastAsia="Calibri" w:cs="Times New Roman"/>
          <w:szCs w:val="20"/>
        </w:rPr>
        <w:t>in this contribution</w:t>
      </w:r>
      <w:r w:rsidRPr="00862B30">
        <w:rPr>
          <w:rFonts w:eastAsia="Calibri" w:cs="Times New Roman"/>
          <w:szCs w:val="20"/>
        </w:rPr>
        <w:t xml:space="preserve">. </w:t>
      </w:r>
    </w:p>
    <w:p w:rsidRPr="00862B30" w:rsidR="00B17403" w:rsidP="003C54D9" w:rsidRDefault="00B17403" w14:paraId="1A0BAE89" w14:textId="67A09C99"/>
    <w:p w:rsidRPr="00862B30" w:rsidR="008F7DD8" w:rsidP="008F7DD8" w:rsidRDefault="008F7DD8" w14:paraId="314C3848" w14:textId="234A365E">
      <w:pPr>
        <w:pStyle w:val="RAN4H1"/>
        <w:rPr>
          <w:lang w:val="en-US"/>
        </w:rPr>
      </w:pPr>
      <w:r w:rsidRPr="00862B30">
        <w:rPr>
          <w:lang w:val="en-US"/>
        </w:rPr>
        <w:t>Discussion</w:t>
      </w:r>
    </w:p>
    <w:p w:rsidRPr="00862B30" w:rsidR="00411DEB" w:rsidP="00086063" w:rsidRDefault="00411DEB" w14:paraId="1D80B738" w14:textId="77777777"/>
    <w:p w:rsidRPr="00862B30" w:rsidR="00411DEB" w:rsidP="00086063" w:rsidRDefault="00411DEB" w14:paraId="6A75B858" w14:textId="38995270">
      <w:r>
        <w:t xml:space="preserve">In RAN4#101bis, RAN4 has agreed TCI switching delay requirements as </w:t>
      </w:r>
      <w:r w:rsidR="00393443">
        <w:t>below. Based on these agreements, we provide further details to complete the requirements.</w:t>
      </w:r>
    </w:p>
    <w:tbl>
      <w:tblPr>
        <w:tblStyle w:val="TableGrid"/>
        <w:tblW w:w="0" w:type="auto"/>
        <w:tblLook w:val="04A0" w:firstRow="1" w:lastRow="0" w:firstColumn="1" w:lastColumn="0" w:noHBand="0" w:noVBand="1"/>
      </w:tblPr>
      <w:tblGrid>
        <w:gridCol w:w="9062"/>
      </w:tblGrid>
      <w:tr w:rsidRPr="00862B30" w:rsidR="00086063" w:rsidTr="00086063" w14:paraId="05839079" w14:textId="77777777">
        <w:tc>
          <w:tcPr>
            <w:tcW w:w="9062" w:type="dxa"/>
          </w:tcPr>
          <w:p w:rsidRPr="00862B30" w:rsidR="00086063" w:rsidP="00086063" w:rsidRDefault="00086063" w14:paraId="0357ED5D" w14:textId="3F75C939">
            <w:pPr>
              <w:spacing w:after="120"/>
            </w:pPr>
            <w:r w:rsidRPr="00862B30">
              <w:rPr>
                <w:highlight w:val="green"/>
              </w:rPr>
              <w:t>WF RAN4#101bis R4-2202666</w:t>
            </w:r>
          </w:p>
          <w:p w:rsidRPr="00862B30" w:rsidR="00086063" w:rsidP="00086063" w:rsidRDefault="00086063" w14:paraId="6C4D8895" w14:textId="5E19156D">
            <w:pPr>
              <w:pStyle w:val="ListParagraph"/>
              <w:numPr>
                <w:ilvl w:val="0"/>
                <w:numId w:val="16"/>
              </w:numPr>
              <w:spacing w:after="120"/>
              <w:ind w:left="720"/>
              <w:contextualSpacing w:val="0"/>
            </w:pPr>
            <w:r w:rsidRPr="00862B30">
              <w:t>Switching delay requirements for unified TCI associated with SC</w:t>
            </w:r>
          </w:p>
          <w:p w:rsidRPr="00862B30" w:rsidR="00086063" w:rsidP="00086063" w:rsidRDefault="00086063" w14:paraId="757D9BA9" w14:textId="77777777">
            <w:pPr>
              <w:pStyle w:val="ListParagraph"/>
              <w:numPr>
                <w:ilvl w:val="1"/>
                <w:numId w:val="16"/>
              </w:numPr>
              <w:spacing w:after="120"/>
              <w:ind w:left="1580"/>
              <w:contextualSpacing w:val="0"/>
            </w:pPr>
            <w:r w:rsidRPr="00862B30">
              <w:t xml:space="preserve">For TCI known case, the MAC CE based uplink TCI switching delay requirement is specified as </w:t>
            </w:r>
          </w:p>
          <w:p w:rsidRPr="00862B30" w:rsidR="00086063" w:rsidP="00086063" w:rsidRDefault="00086063" w14:paraId="6EC99302" w14:textId="77777777">
            <w:pPr>
              <w:pStyle w:val="ListParagraph"/>
              <w:spacing w:after="120"/>
              <w:ind w:left="1580"/>
              <w:rPr>
                <w:rFonts w:eastAsia="Times New Roman"/>
                <w:bCs/>
                <w:i/>
                <w:szCs w:val="21"/>
              </w:rPr>
            </w:pPr>
            <w:r w:rsidRPr="00862B30">
              <w:rPr>
                <w:rFonts w:eastAsia="Times New Roman"/>
                <w:bCs/>
                <w:i/>
                <w:szCs w:val="21"/>
              </w:rPr>
              <w:t>T</w:t>
            </w:r>
            <w:r w:rsidRPr="00862B30">
              <w:rPr>
                <w:rFonts w:eastAsia="Times New Roman"/>
                <w:bCs/>
                <w:i/>
                <w:szCs w:val="21"/>
                <w:vertAlign w:val="subscript"/>
              </w:rPr>
              <w:t>HARQ</w:t>
            </w:r>
            <w:r w:rsidRPr="00862B30">
              <w:rPr>
                <w:rFonts w:eastAsia="Times New Roman"/>
                <w:bCs/>
                <w:i/>
                <w:szCs w:val="21"/>
              </w:rPr>
              <w:t xml:space="preserve"> + 3ms + NM*(</w:t>
            </w:r>
            <w:proofErr w:type="spellStart"/>
            <w:r w:rsidRPr="00862B30">
              <w:rPr>
                <w:rFonts w:eastAsia="Times New Roman"/>
                <w:bCs/>
                <w:i/>
                <w:szCs w:val="21"/>
              </w:rPr>
              <w:t>T</w:t>
            </w:r>
            <w:r w:rsidRPr="00862B30">
              <w:rPr>
                <w:rFonts w:eastAsia="Times New Roman"/>
                <w:bCs/>
                <w:i/>
                <w:szCs w:val="21"/>
                <w:vertAlign w:val="subscript"/>
              </w:rPr>
              <w:t>first_target</w:t>
            </w:r>
            <w:proofErr w:type="spellEnd"/>
            <w:r w:rsidRPr="00862B30">
              <w:rPr>
                <w:rFonts w:eastAsia="Times New Roman"/>
                <w:bCs/>
                <w:i/>
                <w:szCs w:val="21"/>
                <w:vertAlign w:val="subscript"/>
              </w:rPr>
              <w:t xml:space="preserve">-PL-RS </w:t>
            </w:r>
            <w:r w:rsidRPr="00862B30">
              <w:rPr>
                <w:rFonts w:eastAsia="Times New Roman"/>
                <w:bCs/>
                <w:i/>
                <w:szCs w:val="21"/>
              </w:rPr>
              <w:t>+ 4*</w:t>
            </w:r>
            <w:proofErr w:type="spellStart"/>
            <w:r w:rsidRPr="00862B30">
              <w:rPr>
                <w:rFonts w:eastAsia="Times New Roman"/>
                <w:bCs/>
                <w:i/>
                <w:szCs w:val="21"/>
              </w:rPr>
              <w:t>T</w:t>
            </w:r>
            <w:r w:rsidRPr="00862B30">
              <w:rPr>
                <w:rFonts w:eastAsia="Times New Roman"/>
                <w:bCs/>
                <w:i/>
                <w:szCs w:val="21"/>
                <w:vertAlign w:val="subscript"/>
              </w:rPr>
              <w:t>target_PL</w:t>
            </w:r>
            <w:proofErr w:type="spellEnd"/>
            <w:r w:rsidRPr="00862B30">
              <w:rPr>
                <w:rFonts w:eastAsia="Times New Roman"/>
                <w:bCs/>
                <w:i/>
                <w:szCs w:val="21"/>
                <w:vertAlign w:val="subscript"/>
              </w:rPr>
              <w:t xml:space="preserve">-RS </w:t>
            </w:r>
            <w:r w:rsidRPr="00862B30">
              <w:rPr>
                <w:rFonts w:eastAsia="Times New Roman"/>
                <w:bCs/>
                <w:i/>
                <w:szCs w:val="21"/>
              </w:rPr>
              <w:t>+ 2ms)</w:t>
            </w:r>
          </w:p>
          <w:p w:rsidRPr="00862B30" w:rsidR="00086063" w:rsidP="00086063" w:rsidRDefault="00086063" w14:paraId="4619B43B" w14:textId="77777777">
            <w:pPr>
              <w:pStyle w:val="ListParagraph"/>
              <w:spacing w:after="120"/>
              <w:ind w:left="1580"/>
              <w:rPr>
                <w:rFonts w:eastAsiaTheme="minorEastAsia"/>
                <w:bCs/>
                <w:szCs w:val="21"/>
                <w:lang w:eastAsia="zh-CN"/>
              </w:rPr>
            </w:pPr>
            <w:proofErr w:type="gramStart"/>
            <w:r w:rsidRPr="00862B30">
              <w:rPr>
                <w:rFonts w:eastAsiaTheme="minorEastAsia"/>
                <w:bCs/>
                <w:szCs w:val="21"/>
                <w:lang w:eastAsia="zh-CN"/>
              </w:rPr>
              <w:t>Where</w:t>
            </w:r>
            <w:proofErr w:type="gramEnd"/>
          </w:p>
          <w:p w:rsidRPr="00862B30" w:rsidR="00086063" w:rsidP="00086063" w:rsidRDefault="00086063" w14:paraId="632402B0" w14:textId="77777777">
            <w:pPr>
              <w:pStyle w:val="ListParagraph"/>
              <w:spacing w:after="120"/>
              <w:ind w:left="1780" w:leftChars="890"/>
              <w:rPr>
                <w:rFonts w:eastAsia="Times New Roman"/>
                <w:bCs/>
                <w:szCs w:val="21"/>
              </w:rPr>
            </w:pPr>
            <w:r w:rsidRPr="00862B30">
              <w:rPr>
                <w:lang w:eastAsia="zh-CN"/>
              </w:rPr>
              <w:t>NM</w:t>
            </w:r>
            <w:r w:rsidRPr="00862B30">
              <w:rPr>
                <w:vertAlign w:val="subscript"/>
                <w:lang w:eastAsia="zh-CN"/>
              </w:rPr>
              <w:t xml:space="preserve"> </w:t>
            </w:r>
            <w:r w:rsidRPr="00862B30">
              <w:rPr>
                <w:lang w:eastAsia="zh-CN"/>
              </w:rPr>
              <w:t>= 1, if the target PL-RS is not maintained by the UE, 0 otherwise</w:t>
            </w:r>
            <w:r w:rsidRPr="00862B30">
              <w:rPr>
                <w:rFonts w:eastAsia="Times New Roman"/>
                <w:bCs/>
                <w:szCs w:val="21"/>
              </w:rPr>
              <w:t xml:space="preserve"> </w:t>
            </w:r>
          </w:p>
          <w:p w:rsidRPr="00862B30" w:rsidR="00086063" w:rsidP="00086063" w:rsidRDefault="00086063" w14:paraId="7788102C" w14:textId="77777777">
            <w:pPr>
              <w:pStyle w:val="ListParagraph"/>
              <w:numPr>
                <w:ilvl w:val="1"/>
                <w:numId w:val="16"/>
              </w:numPr>
              <w:spacing w:after="120"/>
              <w:ind w:left="1580"/>
              <w:contextualSpacing w:val="0"/>
            </w:pPr>
            <w:r w:rsidRPr="00862B30">
              <w:t xml:space="preserve">For TCI unknow case, MAC CE based uplink TCI switching delay requirement is specified as </w:t>
            </w:r>
          </w:p>
          <w:p w:rsidRPr="00862B30" w:rsidR="00086063" w:rsidP="00086063" w:rsidRDefault="00086063" w14:paraId="39E159F3" w14:textId="77777777">
            <w:pPr>
              <w:pStyle w:val="ListParagraph"/>
              <w:spacing w:after="120"/>
              <w:ind w:left="1800"/>
              <w:rPr>
                <w:rFonts w:eastAsia="Times New Roman"/>
                <w:bCs/>
                <w:i/>
                <w:szCs w:val="21"/>
              </w:rPr>
            </w:pPr>
            <w:r w:rsidRPr="00862B30">
              <w:rPr>
                <w:rFonts w:eastAsia="Times New Roman"/>
                <w:bCs/>
                <w:i/>
                <w:szCs w:val="21"/>
              </w:rPr>
              <w:t>T</w:t>
            </w:r>
            <w:r w:rsidRPr="00862B30">
              <w:rPr>
                <w:rFonts w:eastAsia="Times New Roman"/>
                <w:bCs/>
                <w:i/>
                <w:szCs w:val="21"/>
                <w:vertAlign w:val="subscript"/>
              </w:rPr>
              <w:t>HARQ</w:t>
            </w:r>
            <w:r w:rsidRPr="00862B30">
              <w:rPr>
                <w:rFonts w:eastAsia="Times New Roman"/>
                <w:bCs/>
                <w:i/>
                <w:szCs w:val="21"/>
              </w:rPr>
              <w:t xml:space="preserve"> + 3ms + T</w:t>
            </w:r>
            <w:r w:rsidRPr="00862B30">
              <w:rPr>
                <w:rFonts w:eastAsia="Times New Roman"/>
                <w:bCs/>
                <w:i/>
                <w:szCs w:val="21"/>
                <w:vertAlign w:val="subscript"/>
              </w:rPr>
              <w:t xml:space="preserve">L1-RSRP </w:t>
            </w:r>
            <w:r w:rsidRPr="00862B30">
              <w:rPr>
                <w:rFonts w:eastAsia="Times New Roman"/>
                <w:bCs/>
                <w:i/>
                <w:szCs w:val="21"/>
              </w:rPr>
              <w:t>+ (</w:t>
            </w:r>
            <w:proofErr w:type="spellStart"/>
            <w:r w:rsidRPr="00862B30">
              <w:rPr>
                <w:rFonts w:eastAsia="Times New Roman"/>
                <w:bCs/>
                <w:i/>
                <w:szCs w:val="21"/>
              </w:rPr>
              <w:t>T</w:t>
            </w:r>
            <w:r w:rsidRPr="00862B30">
              <w:rPr>
                <w:rFonts w:eastAsia="Times New Roman"/>
                <w:bCs/>
                <w:i/>
                <w:szCs w:val="21"/>
                <w:vertAlign w:val="subscript"/>
              </w:rPr>
              <w:t>first_target</w:t>
            </w:r>
            <w:proofErr w:type="spellEnd"/>
            <w:r w:rsidRPr="00862B30">
              <w:rPr>
                <w:rFonts w:eastAsia="Times New Roman"/>
                <w:bCs/>
                <w:i/>
                <w:szCs w:val="21"/>
                <w:vertAlign w:val="subscript"/>
              </w:rPr>
              <w:t xml:space="preserve">-PL-RS </w:t>
            </w:r>
            <w:r w:rsidRPr="00862B30">
              <w:rPr>
                <w:rFonts w:eastAsia="Times New Roman"/>
                <w:bCs/>
                <w:i/>
                <w:szCs w:val="21"/>
              </w:rPr>
              <w:t>+ 4*</w:t>
            </w:r>
            <w:proofErr w:type="spellStart"/>
            <w:r w:rsidRPr="00862B30">
              <w:rPr>
                <w:rFonts w:eastAsia="Times New Roman"/>
                <w:bCs/>
                <w:i/>
                <w:szCs w:val="21"/>
              </w:rPr>
              <w:t>T</w:t>
            </w:r>
            <w:r w:rsidRPr="00862B30">
              <w:rPr>
                <w:rFonts w:eastAsia="Times New Roman"/>
                <w:bCs/>
                <w:i/>
                <w:szCs w:val="21"/>
                <w:vertAlign w:val="subscript"/>
              </w:rPr>
              <w:t>target_PL</w:t>
            </w:r>
            <w:proofErr w:type="spellEnd"/>
            <w:r w:rsidRPr="00862B30">
              <w:rPr>
                <w:rFonts w:eastAsia="Times New Roman"/>
                <w:bCs/>
                <w:i/>
                <w:szCs w:val="21"/>
                <w:vertAlign w:val="subscript"/>
              </w:rPr>
              <w:t xml:space="preserve">-RS </w:t>
            </w:r>
            <w:r w:rsidRPr="00862B30">
              <w:rPr>
                <w:rFonts w:eastAsia="Times New Roman"/>
                <w:bCs/>
                <w:i/>
                <w:szCs w:val="21"/>
              </w:rPr>
              <w:t xml:space="preserve">+ 2ms) </w:t>
            </w:r>
          </w:p>
          <w:p w:rsidRPr="00862B30" w:rsidR="00086063" w:rsidP="00086063" w:rsidRDefault="00086063" w14:paraId="1544A3C2" w14:textId="77777777">
            <w:pPr>
              <w:pStyle w:val="ListParagraph"/>
              <w:numPr>
                <w:ilvl w:val="1"/>
                <w:numId w:val="16"/>
              </w:numPr>
              <w:spacing w:after="120"/>
              <w:ind w:left="1580"/>
              <w:contextualSpacing w:val="0"/>
            </w:pPr>
            <w:r w:rsidRPr="00862B30">
              <w:t xml:space="preserve">RAN4 will further study and confirm the below beam alignment </w:t>
            </w:r>
            <w:proofErr w:type="spellStart"/>
            <w:r w:rsidRPr="00862B30">
              <w:t>defination</w:t>
            </w:r>
            <w:proofErr w:type="spellEnd"/>
            <w:r w:rsidRPr="00862B30">
              <w:t xml:space="preserve"> as applicability scenario for uplink TCI switching requirements</w:t>
            </w:r>
          </w:p>
          <w:p w:rsidRPr="00862B30" w:rsidR="00086063" w:rsidP="00086063" w:rsidRDefault="00086063" w14:paraId="054B1336" w14:textId="77777777">
            <w:pPr>
              <w:pStyle w:val="ListParagraph"/>
              <w:numPr>
                <w:ilvl w:val="2"/>
                <w:numId w:val="16"/>
              </w:numPr>
              <w:spacing w:after="120"/>
              <w:ind w:left="2300"/>
              <w:contextualSpacing w:val="0"/>
            </w:pPr>
            <w:r w:rsidRPr="00862B30">
              <w:t>If PL-RS is included in UL TCI or joint TCI, PL-RS is identical to the source RS in UL or joint TCI</w:t>
            </w:r>
          </w:p>
          <w:p w:rsidRPr="00862B30" w:rsidR="00086063" w:rsidP="00086063" w:rsidRDefault="00086063" w14:paraId="2C2CA7E7" w14:textId="77777777">
            <w:pPr>
              <w:pStyle w:val="ListParagraph"/>
              <w:numPr>
                <w:ilvl w:val="2"/>
                <w:numId w:val="16"/>
              </w:numPr>
              <w:spacing w:after="120"/>
              <w:ind w:left="2300"/>
              <w:contextualSpacing w:val="0"/>
            </w:pPr>
            <w:r w:rsidRPr="00862B30">
              <w:t>If PL-RS is associated UL TCI or joint TCI, PL-RS and source RS in UL or joint TCI is QCL-Type D.</w:t>
            </w:r>
          </w:p>
          <w:p w:rsidRPr="00862B30" w:rsidR="00086063" w:rsidP="00086063" w:rsidRDefault="00086063" w14:paraId="483225FB" w14:textId="77777777">
            <w:pPr>
              <w:pStyle w:val="ListParagraph"/>
              <w:numPr>
                <w:ilvl w:val="1"/>
                <w:numId w:val="16"/>
              </w:numPr>
              <w:spacing w:after="120"/>
              <w:ind w:left="1580"/>
              <w:contextualSpacing w:val="0"/>
            </w:pPr>
            <w:r w:rsidRPr="00862B30">
              <w:rPr>
                <w:lang w:eastAsia="zh-CN"/>
              </w:rPr>
              <w:t>It is common understanding that TCI state switching delay requirement can be defined for UL TCI and DL TCI switching respectively</w:t>
            </w:r>
            <w:r w:rsidRPr="00862B30">
              <w:t xml:space="preserve"> </w:t>
            </w:r>
          </w:p>
          <w:p w:rsidRPr="00862B30" w:rsidR="00086063" w:rsidP="00086063" w:rsidRDefault="00086063" w14:paraId="46E7D896" w14:textId="77777777">
            <w:pPr>
              <w:pStyle w:val="ListParagraph"/>
              <w:numPr>
                <w:ilvl w:val="1"/>
                <w:numId w:val="16"/>
              </w:numPr>
              <w:spacing w:after="120"/>
              <w:ind w:left="1580"/>
              <w:contextualSpacing w:val="0"/>
            </w:pPr>
            <w:r w:rsidRPr="00862B30">
              <w:t xml:space="preserve">RAN4 will further study if MAC-CE based TCI state-pair indication requirement will be specified </w:t>
            </w:r>
          </w:p>
          <w:p w:rsidRPr="00862B30" w:rsidR="00086063" w:rsidP="00086063" w:rsidRDefault="00086063" w14:paraId="476CDA7E" w14:textId="77777777">
            <w:pPr>
              <w:pStyle w:val="ListParagraph"/>
              <w:numPr>
                <w:ilvl w:val="1"/>
                <w:numId w:val="16"/>
              </w:numPr>
              <w:spacing w:after="120"/>
              <w:ind w:left="1580"/>
              <w:contextualSpacing w:val="0"/>
            </w:pPr>
            <w:r w:rsidRPr="00862B30">
              <w:lastRenderedPageBreak/>
              <w:t>RAN4 is to specified DCI based DL/UL TCI state switch delay for unified TCI based on RAN1 agreements on beam application time (BAT</w:t>
            </w:r>
            <w:proofErr w:type="gramStart"/>
            <w:r w:rsidRPr="00862B30">
              <w:t>) .</w:t>
            </w:r>
            <w:proofErr w:type="gramEnd"/>
            <w:r w:rsidRPr="00862B30">
              <w:t xml:space="preserve"> FFS on detailed wording to be included in specification.</w:t>
            </w:r>
          </w:p>
          <w:p w:rsidRPr="00862B30" w:rsidR="00086063" w:rsidP="00086063" w:rsidRDefault="00086063" w14:paraId="3606F21C" w14:textId="77777777">
            <w:pPr>
              <w:pStyle w:val="ListParagraph"/>
              <w:numPr>
                <w:ilvl w:val="0"/>
                <w:numId w:val="16"/>
              </w:numPr>
              <w:spacing w:after="120"/>
              <w:ind w:left="720"/>
              <w:contextualSpacing w:val="0"/>
            </w:pPr>
            <w:r w:rsidRPr="00862B30">
              <w:t xml:space="preserve">Switching delay requirements for unified TCI associated </w:t>
            </w:r>
            <w:proofErr w:type="gramStart"/>
            <w:r w:rsidRPr="00862B30">
              <w:t>with ”NSC</w:t>
            </w:r>
            <w:proofErr w:type="gramEnd"/>
            <w:r w:rsidRPr="00862B30">
              <w:t>”</w:t>
            </w:r>
          </w:p>
          <w:p w:rsidRPr="00862B30" w:rsidR="00086063" w:rsidP="00086063" w:rsidRDefault="00086063" w14:paraId="4382E9F3" w14:textId="77777777">
            <w:pPr>
              <w:pStyle w:val="ListParagraph"/>
              <w:numPr>
                <w:ilvl w:val="1"/>
                <w:numId w:val="16"/>
              </w:numPr>
              <w:spacing w:after="120"/>
              <w:ind w:left="1440"/>
              <w:contextualSpacing w:val="0"/>
              <w:rPr>
                <w:rFonts w:eastAsia="Times New Roman"/>
                <w:bCs/>
                <w:szCs w:val="21"/>
              </w:rPr>
            </w:pPr>
            <w:r w:rsidRPr="00862B30">
              <w:rPr>
                <w:rFonts w:eastAsiaTheme="minorEastAsia"/>
                <w:bCs/>
                <w:szCs w:val="21"/>
                <w:lang w:eastAsia="zh-CN"/>
              </w:rPr>
              <w:t>NSC in TCI switching delay will be specified as “</w:t>
            </w:r>
            <w:r w:rsidRPr="00862B30">
              <w:rPr>
                <w:i/>
                <w:iCs/>
                <w:lang w:eastAsia="zh-CN"/>
              </w:rPr>
              <w:t>a cell with PCI different from a serving cell</w:t>
            </w:r>
            <w:r w:rsidRPr="00862B30">
              <w:rPr>
                <w:rFonts w:eastAsiaTheme="minorEastAsia"/>
                <w:bCs/>
                <w:szCs w:val="21"/>
                <w:lang w:eastAsia="zh-CN"/>
              </w:rPr>
              <w:t>”</w:t>
            </w:r>
          </w:p>
          <w:p w:rsidRPr="00862B30" w:rsidR="00086063" w:rsidP="00086063" w:rsidRDefault="00086063" w14:paraId="1055D796" w14:textId="77777777">
            <w:pPr>
              <w:pStyle w:val="ListParagraph"/>
              <w:numPr>
                <w:ilvl w:val="1"/>
                <w:numId w:val="16"/>
              </w:numPr>
              <w:spacing w:after="120"/>
              <w:ind w:left="1440"/>
              <w:contextualSpacing w:val="0"/>
              <w:rPr>
                <w:rFonts w:eastAsia="Times New Roman"/>
                <w:bCs/>
                <w:szCs w:val="21"/>
              </w:rPr>
            </w:pPr>
            <w:r w:rsidRPr="00862B30">
              <w:rPr>
                <w:rFonts w:eastAsia="Times New Roman"/>
                <w:bCs/>
                <w:szCs w:val="21"/>
              </w:rPr>
              <w:t xml:space="preserve">MAC-CE </w:t>
            </w:r>
            <w:proofErr w:type="gramStart"/>
            <w:r w:rsidRPr="00862B30">
              <w:rPr>
                <w:rFonts w:eastAsia="Times New Roman"/>
                <w:bCs/>
                <w:szCs w:val="21"/>
              </w:rPr>
              <w:t>based</w:t>
            </w:r>
            <w:proofErr w:type="gramEnd"/>
            <w:r w:rsidRPr="00862B30">
              <w:rPr>
                <w:rFonts w:eastAsia="Times New Roman"/>
                <w:bCs/>
                <w:szCs w:val="21"/>
              </w:rPr>
              <w:t xml:space="preserve"> and DCI based TCI switching delay does not have difference for a serving cell and a cell with PCI different from a serving cell based on the following conditions. </w:t>
            </w:r>
          </w:p>
          <w:p w:rsidRPr="00862B30" w:rsidR="00086063" w:rsidP="00086063" w:rsidRDefault="00086063" w14:paraId="483C53D5" w14:textId="77777777">
            <w:pPr>
              <w:pStyle w:val="ListParagraph"/>
              <w:numPr>
                <w:ilvl w:val="2"/>
                <w:numId w:val="16"/>
              </w:numPr>
              <w:spacing w:after="120"/>
              <w:ind w:left="2300"/>
              <w:contextualSpacing w:val="0"/>
            </w:pPr>
            <w:r w:rsidRPr="00862B30">
              <w:rPr>
                <w:rFonts w:eastAsia="Yu Mincho"/>
                <w:bCs/>
                <w:lang w:eastAsia="ja-JP"/>
              </w:rPr>
              <w:t xml:space="preserve">Active BWP of cell with different PCI shall be within active BWP of serving cell </w:t>
            </w:r>
          </w:p>
          <w:p w:rsidRPr="00862B30" w:rsidR="00086063" w:rsidP="00086063" w:rsidRDefault="00086063" w14:paraId="4D68F103" w14:textId="77777777">
            <w:pPr>
              <w:pStyle w:val="ListParagraph"/>
              <w:numPr>
                <w:ilvl w:val="2"/>
                <w:numId w:val="16"/>
              </w:numPr>
              <w:spacing w:after="120"/>
              <w:ind w:left="2300"/>
              <w:contextualSpacing w:val="0"/>
            </w:pPr>
            <w:r w:rsidRPr="00862B30">
              <w:rPr>
                <w:rFonts w:eastAsia="Yu Mincho"/>
                <w:bCs/>
                <w:lang w:eastAsia="ja-JP"/>
              </w:rPr>
              <w:t>SCS between cell with different PCI and serving cell shall the same</w:t>
            </w:r>
            <w:r w:rsidRPr="00862B30">
              <w:t xml:space="preserve"> </w:t>
            </w:r>
          </w:p>
          <w:p w:rsidRPr="00862B30" w:rsidR="00086063" w:rsidP="00086063" w:rsidRDefault="00086063" w14:paraId="4DF2E9BD" w14:textId="77777777">
            <w:pPr>
              <w:pStyle w:val="ListParagraph"/>
              <w:numPr>
                <w:ilvl w:val="2"/>
                <w:numId w:val="16"/>
              </w:numPr>
              <w:spacing w:after="120"/>
              <w:ind w:left="2300"/>
              <w:contextualSpacing w:val="0"/>
            </w:pPr>
            <w:r w:rsidRPr="00862B30">
              <w:rPr>
                <w:rFonts w:eastAsia="Yu Mincho"/>
                <w:bCs/>
                <w:lang w:eastAsia="ja-JP"/>
              </w:rPr>
              <w:t>Timing offset between SC and NSC are within CP</w:t>
            </w:r>
            <w:r w:rsidRPr="00862B30">
              <w:t xml:space="preserve"> </w:t>
            </w:r>
          </w:p>
          <w:p w:rsidRPr="00862B30" w:rsidR="00086063" w:rsidP="00086063" w:rsidRDefault="00086063" w14:paraId="7AFDD5D7" w14:textId="77777777">
            <w:pPr>
              <w:pStyle w:val="ListParagraph"/>
              <w:numPr>
                <w:ilvl w:val="1"/>
                <w:numId w:val="16"/>
              </w:numPr>
              <w:spacing w:after="120"/>
              <w:ind w:left="1580"/>
              <w:contextualSpacing w:val="0"/>
            </w:pPr>
            <w:r w:rsidRPr="00862B30">
              <w:t xml:space="preserve">RAN4 will further study whether to specify the requirements if above conditions do not meet. </w:t>
            </w:r>
          </w:p>
          <w:p w:rsidRPr="00862B30" w:rsidR="00086063" w:rsidP="00086063" w:rsidRDefault="00086063" w14:paraId="7701A5AB" w14:textId="77777777">
            <w:pPr>
              <w:pStyle w:val="ListParagraph"/>
              <w:numPr>
                <w:ilvl w:val="0"/>
                <w:numId w:val="16"/>
              </w:numPr>
              <w:spacing w:after="120"/>
              <w:ind w:left="720"/>
              <w:contextualSpacing w:val="0"/>
            </w:pPr>
            <w:r w:rsidRPr="00862B30">
              <w:t>Delay requirements for TCI switching in CA case</w:t>
            </w:r>
          </w:p>
          <w:p w:rsidRPr="00862B30" w:rsidR="00086063" w:rsidP="00086063" w:rsidRDefault="00086063" w14:paraId="153D8809" w14:textId="77777777">
            <w:pPr>
              <w:pStyle w:val="ListParagraph"/>
              <w:numPr>
                <w:ilvl w:val="1"/>
                <w:numId w:val="16"/>
              </w:numPr>
              <w:spacing w:after="120"/>
              <w:ind w:left="1580"/>
              <w:contextualSpacing w:val="0"/>
            </w:pPr>
            <w:r w:rsidRPr="00862B30">
              <w:t xml:space="preserve">RAN4 will further study whether to specify the TCI switching delay requirement in CA case </w:t>
            </w:r>
          </w:p>
          <w:p w:rsidRPr="00862B30" w:rsidR="00086063" w:rsidP="00086063" w:rsidRDefault="00086063" w14:paraId="74987EEF" w14:textId="77777777">
            <w:pPr>
              <w:pStyle w:val="ListParagraph"/>
              <w:numPr>
                <w:ilvl w:val="0"/>
                <w:numId w:val="16"/>
              </w:numPr>
              <w:spacing w:after="120"/>
              <w:ind w:left="720"/>
              <w:contextualSpacing w:val="0"/>
            </w:pPr>
            <w:r w:rsidRPr="00862B30">
              <w:t>Requirements for PL-RS switching delay indicated by unified TCI</w:t>
            </w:r>
          </w:p>
          <w:p w:rsidRPr="00862B30" w:rsidR="00086063" w:rsidP="00086063" w:rsidRDefault="00086063" w14:paraId="194A8379" w14:textId="77777777">
            <w:pPr>
              <w:pStyle w:val="ListParagraph"/>
              <w:numPr>
                <w:ilvl w:val="1"/>
                <w:numId w:val="16"/>
              </w:numPr>
              <w:spacing w:after="120"/>
              <w:ind w:left="1580"/>
              <w:contextualSpacing w:val="0"/>
            </w:pPr>
            <w:r w:rsidRPr="00862B30">
              <w:t>No extra requirements beyond Rel-17 unified TCI switching delay requirements. Requirements for uplink TCI switching requirements is applied for MAC CE based PL-RS switching and DCI based PL-RS switching</w:t>
            </w:r>
          </w:p>
          <w:p w:rsidRPr="00862B30" w:rsidR="00086063" w:rsidP="00086063" w:rsidRDefault="00086063" w14:paraId="5AA27B1E" w14:textId="77777777">
            <w:pPr>
              <w:pStyle w:val="ListParagraph"/>
              <w:numPr>
                <w:ilvl w:val="1"/>
                <w:numId w:val="16"/>
              </w:numPr>
              <w:spacing w:after="120"/>
              <w:ind w:left="1580"/>
              <w:contextualSpacing w:val="0"/>
            </w:pPr>
            <w:r w:rsidRPr="00862B30">
              <w:t xml:space="preserve">Delay component of measuring PL-RS will be specified for the following cases </w:t>
            </w:r>
          </w:p>
          <w:p w:rsidRPr="00862B30" w:rsidR="00086063" w:rsidP="00086063" w:rsidRDefault="00086063" w14:paraId="265A16A6" w14:textId="77777777">
            <w:pPr>
              <w:pStyle w:val="ListParagraph"/>
              <w:numPr>
                <w:ilvl w:val="2"/>
                <w:numId w:val="16"/>
              </w:numPr>
              <w:spacing w:after="120"/>
              <w:ind w:left="2300"/>
              <w:contextualSpacing w:val="0"/>
            </w:pPr>
            <w:r w:rsidRPr="00862B30">
              <w:t xml:space="preserve">Known TCI but PL-RS is not maintained </w:t>
            </w:r>
          </w:p>
          <w:p w:rsidRPr="00862B30" w:rsidR="00086063" w:rsidP="00086063" w:rsidRDefault="00086063" w14:paraId="6923B598" w14:textId="77777777">
            <w:pPr>
              <w:pStyle w:val="ListParagraph"/>
              <w:numPr>
                <w:ilvl w:val="2"/>
                <w:numId w:val="16"/>
              </w:numPr>
              <w:spacing w:after="120"/>
              <w:ind w:left="2300"/>
              <w:contextualSpacing w:val="0"/>
            </w:pPr>
            <w:r w:rsidRPr="00862B30">
              <w:t xml:space="preserve">Unknow TCI </w:t>
            </w:r>
          </w:p>
          <w:p w:rsidRPr="00862B30" w:rsidR="00086063" w:rsidP="008F7DD8" w:rsidRDefault="00086063" w14:paraId="767F1CDF" w14:textId="77777777"/>
        </w:tc>
      </w:tr>
    </w:tbl>
    <w:p w:rsidR="00086063" w:rsidP="008F7DD8" w:rsidRDefault="00086063" w14:paraId="280FDF55" w14:textId="6C0430BC"/>
    <w:p w:rsidRPr="00862B30" w:rsidR="007C3893" w:rsidP="008F7DD8" w:rsidRDefault="007C3893" w14:paraId="77CE8FC2" w14:textId="77777777"/>
    <w:p w:rsidR="00581E33" w:rsidP="007C3893" w:rsidRDefault="00BB05A5" w14:paraId="53C50982" w14:textId="48C26E7D">
      <w:pPr>
        <w:pStyle w:val="RAN4H2"/>
        <w:rPr>
          <w:sz w:val="28"/>
          <w:szCs w:val="28"/>
        </w:rPr>
      </w:pPr>
      <w:r w:rsidRPr="007C3893">
        <w:rPr>
          <w:sz w:val="28"/>
          <w:szCs w:val="28"/>
        </w:rPr>
        <w:t xml:space="preserve">Remaining issues on </w:t>
      </w:r>
      <w:r w:rsidRPr="007C3893" w:rsidR="00581E33">
        <w:rPr>
          <w:sz w:val="28"/>
          <w:szCs w:val="28"/>
        </w:rPr>
        <w:t xml:space="preserve">PL-RS switching delay requirement </w:t>
      </w:r>
    </w:p>
    <w:p w:rsidRPr="007C3893" w:rsidR="007C3893" w:rsidP="007C3893" w:rsidRDefault="007C3893" w14:paraId="661582DB" w14:textId="77777777"/>
    <w:p w:rsidRPr="00862B30" w:rsidR="00BB05A5" w:rsidP="00BB05A5" w:rsidRDefault="00BB05A5" w14:paraId="57379FC8" w14:textId="760C1AEC">
      <w:r w:rsidRPr="00862B30">
        <w:t xml:space="preserve">In the last meeting, RAN4 made progress on PL-RS </w:t>
      </w:r>
      <w:r w:rsidRPr="00862B30" w:rsidR="00C63D43">
        <w:t>switching delay requirement, it has a few remaining issues related to</w:t>
      </w:r>
    </w:p>
    <w:p w:rsidRPr="00862B30" w:rsidR="00BB05A5" w:rsidP="00BB05A5" w:rsidRDefault="00BB05A5" w14:paraId="05CE0B68" w14:textId="52F68ACC">
      <w:pPr>
        <w:pStyle w:val="ListParagraph"/>
        <w:numPr>
          <w:ilvl w:val="0"/>
          <w:numId w:val="32"/>
        </w:numPr>
      </w:pPr>
      <w:r w:rsidRPr="00862B30">
        <w:t xml:space="preserve">Beam alignment condition of PL-RS switching </w:t>
      </w:r>
    </w:p>
    <w:p w:rsidRPr="00862B30" w:rsidR="00862B30" w:rsidP="00862B30" w:rsidRDefault="00862B30" w14:paraId="72569087" w14:textId="77777777">
      <w:pPr>
        <w:pStyle w:val="ListParagraph"/>
        <w:numPr>
          <w:ilvl w:val="0"/>
          <w:numId w:val="32"/>
        </w:numPr>
      </w:pPr>
      <w:r w:rsidRPr="00862B30">
        <w:t>DCI-based PL-RS switching delay requirement</w:t>
      </w:r>
    </w:p>
    <w:p w:rsidRPr="00862B30" w:rsidR="00BB05A5" w:rsidP="00BB05A5" w:rsidRDefault="00BB05A5" w14:paraId="641148B0" w14:textId="5C8DE02F">
      <w:pPr>
        <w:pStyle w:val="ListParagraph"/>
        <w:numPr>
          <w:ilvl w:val="0"/>
          <w:numId w:val="32"/>
        </w:numPr>
      </w:pPr>
      <w:r w:rsidRPr="00862B30">
        <w:t>MAC-CE-based PL-RS switching delay requirement under unknown condition</w:t>
      </w:r>
    </w:p>
    <w:p w:rsidRPr="00862B30" w:rsidR="00A10676" w:rsidP="008F7DD8" w:rsidRDefault="00C63D43" w14:paraId="1DA88A13" w14:textId="22713E74">
      <w:r w:rsidRPr="00862B30">
        <w:t xml:space="preserve">We continue to discuss each issue in this contribution.  </w:t>
      </w:r>
      <w:r w:rsidRPr="00862B30" w:rsidR="00A238FE">
        <w:t>In RAN4#101</w:t>
      </w:r>
      <w:r w:rsidRPr="00862B30" w:rsidR="00581E33">
        <w:t>bis</w:t>
      </w:r>
      <w:r w:rsidRPr="00862B30" w:rsidR="00A238FE">
        <w:t xml:space="preserve">, </w:t>
      </w:r>
      <w:r w:rsidRPr="00862B30" w:rsidR="00165286">
        <w:t xml:space="preserve">RAN4 had discussions on </w:t>
      </w:r>
      <w:r w:rsidRPr="00862B30" w:rsidR="00581E33">
        <w:t>PL-RS</w:t>
      </w:r>
      <w:r w:rsidRPr="00862B30" w:rsidR="00165286">
        <w:t xml:space="preserve"> switching delay requirements</w:t>
      </w:r>
      <w:r w:rsidRPr="00862B30">
        <w:t xml:space="preserve">, we can see RAN1 agreement status below. </w:t>
      </w:r>
    </w:p>
    <w:tbl>
      <w:tblPr>
        <w:tblStyle w:val="TableGrid"/>
        <w:tblW w:w="0" w:type="auto"/>
        <w:tblLook w:val="04A0" w:firstRow="1" w:lastRow="0" w:firstColumn="1" w:lastColumn="0" w:noHBand="0" w:noVBand="1"/>
      </w:tblPr>
      <w:tblGrid>
        <w:gridCol w:w="9062"/>
      </w:tblGrid>
      <w:tr w:rsidRPr="00862B30" w:rsidR="007B23F6" w:rsidTr="007B23F6" w14:paraId="16D1A293" w14:textId="77777777">
        <w:tc>
          <w:tcPr>
            <w:tcW w:w="9062" w:type="dxa"/>
          </w:tcPr>
          <w:p w:rsidRPr="00862B30" w:rsidR="007B23F6" w:rsidP="00F12EED" w:rsidRDefault="007B23F6" w14:paraId="57DA1771" w14:textId="2DC8651C">
            <w:pPr>
              <w:rPr>
                <w:rFonts w:ascii="Times" w:hAnsi="Times" w:eastAsia="Times New Roman" w:cs="Times"/>
                <w:b/>
                <w:bCs/>
                <w:szCs w:val="20"/>
                <w:highlight w:val="green"/>
                <w:lang w:eastAsia="ko-KR"/>
              </w:rPr>
            </w:pPr>
            <w:r w:rsidRPr="00862B30">
              <w:rPr>
                <w:rFonts w:ascii="Times" w:hAnsi="Times" w:eastAsia="Times New Roman" w:cs="Times"/>
                <w:b/>
                <w:bCs/>
                <w:szCs w:val="20"/>
                <w:highlight w:val="green"/>
                <w:lang w:eastAsia="ko-KR"/>
              </w:rPr>
              <w:t>RAN4 WF R4-2120320</w:t>
            </w:r>
          </w:p>
          <w:p w:rsidRPr="00862B30" w:rsidR="00F12EED" w:rsidP="00F12EED" w:rsidRDefault="00F12EED" w14:paraId="7BDBB930" w14:textId="77777777">
            <w:pPr>
              <w:rPr>
                <w:rFonts w:ascii="Times" w:hAnsi="Times" w:eastAsia="Times New Roman" w:cs="Times"/>
                <w:b/>
                <w:bCs/>
                <w:szCs w:val="20"/>
                <w:highlight w:val="green"/>
                <w:lang w:eastAsia="ko-KR"/>
              </w:rPr>
            </w:pPr>
          </w:p>
          <w:p w:rsidRPr="00862B30" w:rsidR="00581E33" w:rsidP="00581E33" w:rsidRDefault="00581E33" w14:paraId="1BF229C1" w14:textId="664E5A8D">
            <w:pPr>
              <w:pStyle w:val="ListParagraph"/>
              <w:numPr>
                <w:ilvl w:val="1"/>
                <w:numId w:val="19"/>
              </w:numPr>
              <w:autoSpaceDN w:val="0"/>
              <w:spacing w:after="120"/>
              <w:contextualSpacing w:val="0"/>
              <w:rPr>
                <w:rFonts w:eastAsia="MS Mincho"/>
              </w:rPr>
            </w:pPr>
            <w:r w:rsidRPr="00862B30">
              <w:t xml:space="preserve">RAN4 will further study and confirm the below beam alignment </w:t>
            </w:r>
            <w:r w:rsidRPr="00862B30" w:rsidR="00F74476">
              <w:t>definition</w:t>
            </w:r>
            <w:r w:rsidRPr="00862B30">
              <w:t xml:space="preserve"> as applicability scenario for uplink TCI switching requirements</w:t>
            </w:r>
          </w:p>
          <w:p w:rsidRPr="00862B30" w:rsidR="00581E33" w:rsidP="00581E33" w:rsidRDefault="00581E33" w14:paraId="3438924D" w14:textId="77777777">
            <w:pPr>
              <w:pStyle w:val="ListParagraph"/>
              <w:numPr>
                <w:ilvl w:val="2"/>
                <w:numId w:val="19"/>
              </w:numPr>
              <w:autoSpaceDN w:val="0"/>
              <w:spacing w:after="120"/>
              <w:contextualSpacing w:val="0"/>
            </w:pPr>
            <w:r w:rsidRPr="00862B30">
              <w:t>If PL-RS is included in UL TCI or joint TCI, PL-RS is identical to the source RS in UL or joint TCI</w:t>
            </w:r>
          </w:p>
          <w:p w:rsidRPr="00862B30" w:rsidR="00581E33" w:rsidP="00581E33" w:rsidRDefault="00581E33" w14:paraId="79516EDC" w14:textId="77777777">
            <w:pPr>
              <w:pStyle w:val="ListParagraph"/>
              <w:numPr>
                <w:ilvl w:val="2"/>
                <w:numId w:val="19"/>
              </w:numPr>
              <w:autoSpaceDN w:val="0"/>
              <w:spacing w:after="120"/>
              <w:contextualSpacing w:val="0"/>
              <w:rPr>
                <w:highlight w:val="yellow"/>
              </w:rPr>
            </w:pPr>
            <w:r w:rsidRPr="00862B30">
              <w:rPr>
                <w:highlight w:val="yellow"/>
              </w:rPr>
              <w:t>If PL-RS is associated UL TCI or joint TCI, PL-RS and source RS in UL or joint TCI is QCL-Type D.</w:t>
            </w:r>
          </w:p>
          <w:p w:rsidRPr="00862B30" w:rsidR="007B23F6" w:rsidP="00C63D43" w:rsidRDefault="007B23F6" w14:paraId="5A6B4C98" w14:textId="77777777">
            <w:pPr>
              <w:spacing w:after="120" w:line="252" w:lineRule="auto"/>
              <w:rPr>
                <w:rFonts w:eastAsia="SimSun"/>
                <w:iCs/>
                <w:strike/>
                <w:szCs w:val="24"/>
                <w:lang w:eastAsia="ja-JP"/>
              </w:rPr>
            </w:pPr>
          </w:p>
          <w:p w:rsidRPr="00862B30" w:rsidR="00C63D43" w:rsidP="00C63D43" w:rsidRDefault="00C63D43" w14:paraId="6166454C" w14:textId="4D683941">
            <w:pPr>
              <w:rPr>
                <w:rFonts w:ascii="Times" w:hAnsi="Times" w:eastAsia="Times New Roman" w:cs="Times"/>
                <w:b/>
                <w:bCs/>
                <w:szCs w:val="20"/>
                <w:highlight w:val="green"/>
                <w:lang w:eastAsia="ko-KR"/>
              </w:rPr>
            </w:pPr>
            <w:r w:rsidRPr="00862B30">
              <w:rPr>
                <w:rFonts w:ascii="Times" w:hAnsi="Times" w:eastAsia="Times New Roman" w:cs="Times"/>
                <w:b/>
                <w:bCs/>
                <w:szCs w:val="20"/>
                <w:highlight w:val="green"/>
                <w:lang w:eastAsia="ko-KR"/>
              </w:rPr>
              <w:lastRenderedPageBreak/>
              <w:t>RAN1#106 Agreement</w:t>
            </w:r>
          </w:p>
          <w:p w:rsidRPr="00862B30" w:rsidR="00C63D43" w:rsidP="00C63D43" w:rsidRDefault="00C63D43" w14:paraId="2B7D6BE6" w14:textId="77777777">
            <w:pPr>
              <w:rPr>
                <w:rFonts w:ascii="Times" w:hAnsi="Times" w:eastAsia="Times New Roman" w:cs="Times"/>
                <w:color w:val="68717A"/>
                <w:szCs w:val="20"/>
                <w:lang w:eastAsia="ko-KR"/>
              </w:rPr>
            </w:pPr>
            <w:r w:rsidRPr="00862B30">
              <w:rPr>
                <w:rFonts w:ascii="Times" w:hAnsi="Times" w:eastAsia="Times New Roman" w:cs="Times"/>
                <w:color w:val="68717A"/>
                <w:szCs w:val="20"/>
                <w:lang w:eastAsia="ko-KR"/>
              </w:rPr>
              <w:t>On path-loss measurement for Rel.17 unified TCI framework, at least for discussion purposes:</w:t>
            </w:r>
          </w:p>
          <w:p w:rsidRPr="00862B30" w:rsidR="00C63D43" w:rsidP="00C63D43" w:rsidRDefault="00C63D43" w14:paraId="05A110A1" w14:textId="77777777">
            <w:pPr>
              <w:numPr>
                <w:ilvl w:val="0"/>
                <w:numId w:val="31"/>
              </w:numPr>
              <w:spacing w:after="160" w:line="259" w:lineRule="auto"/>
              <w:ind w:left="1260"/>
              <w:textAlignment w:val="center"/>
              <w:rPr>
                <w:rFonts w:ascii="Calibri" w:hAnsi="Calibri" w:eastAsia="Times New Roman" w:cs="Calibri"/>
                <w:sz w:val="22"/>
                <w:lang w:eastAsia="ko-KR"/>
              </w:rPr>
            </w:pPr>
            <w:r w:rsidRPr="00862B30">
              <w:rPr>
                <w:rFonts w:ascii="Times" w:hAnsi="Times" w:eastAsia="Times New Roman" w:cs="Times"/>
                <w:color w:val="68717A"/>
                <w:szCs w:val="20"/>
                <w:lang w:eastAsia="ko-KR"/>
              </w:rPr>
              <w:t xml:space="preserve">“Beam alignment” is defined as follows: </w:t>
            </w:r>
          </w:p>
          <w:p w:rsidRPr="00862B30" w:rsidR="00C63D43" w:rsidP="00C63D43" w:rsidRDefault="00C63D43" w14:paraId="0F079B33" w14:textId="77777777">
            <w:pPr>
              <w:numPr>
                <w:ilvl w:val="1"/>
                <w:numId w:val="31"/>
              </w:numPr>
              <w:spacing w:after="160" w:line="259" w:lineRule="auto"/>
              <w:ind w:left="1875"/>
              <w:textAlignment w:val="center"/>
              <w:rPr>
                <w:rFonts w:ascii="Calibri" w:hAnsi="Calibri" w:eastAsia="Times New Roman" w:cs="Calibri"/>
                <w:sz w:val="22"/>
                <w:lang w:eastAsia="ko-KR"/>
              </w:rPr>
            </w:pPr>
            <w:r w:rsidRPr="00862B30">
              <w:rPr>
                <w:rFonts w:ascii="Times" w:hAnsi="Times" w:eastAsia="Times New Roman" w:cs="Times"/>
                <w:color w:val="68717A"/>
                <w:szCs w:val="20"/>
                <w:lang w:eastAsia="ko-KR"/>
              </w:rPr>
              <w:t xml:space="preserve">The event that the PL-RS is identical to the spatial relation RS in the UL or (if applicable) joint TCI state. </w:t>
            </w:r>
          </w:p>
          <w:p w:rsidRPr="00862B30" w:rsidR="00C63D43" w:rsidP="00C63D43" w:rsidRDefault="00C63D43" w14:paraId="31D9BB89" w14:textId="77777777">
            <w:pPr>
              <w:numPr>
                <w:ilvl w:val="1"/>
                <w:numId w:val="31"/>
              </w:numPr>
              <w:spacing w:after="160" w:line="259" w:lineRule="auto"/>
              <w:ind w:left="1875"/>
              <w:textAlignment w:val="center"/>
              <w:rPr>
                <w:rFonts w:ascii="Calibri" w:hAnsi="Calibri" w:eastAsia="Times New Roman" w:cs="Calibri"/>
                <w:sz w:val="22"/>
                <w:lang w:eastAsia="ko-KR"/>
              </w:rPr>
            </w:pPr>
            <w:r w:rsidRPr="00862B30">
              <w:rPr>
                <w:rFonts w:ascii="Times" w:hAnsi="Times" w:eastAsia="Times New Roman" w:cs="Times"/>
                <w:color w:val="68717A"/>
                <w:szCs w:val="20"/>
                <w:lang w:eastAsia="ko-KR"/>
              </w:rPr>
              <w:t>FFS: how to define “beam alignment” if the PL-RS and the spatial relation RS in the UL or (if applicable) joint TCI state are not identical</w:t>
            </w:r>
          </w:p>
          <w:p w:rsidRPr="00862B30" w:rsidR="00C63D43" w:rsidP="00C63D43" w:rsidRDefault="00C63D43" w14:paraId="08FC3F9B" w14:textId="77777777">
            <w:pPr>
              <w:numPr>
                <w:ilvl w:val="0"/>
                <w:numId w:val="31"/>
              </w:numPr>
              <w:spacing w:after="160" w:line="259" w:lineRule="auto"/>
              <w:ind w:left="1260"/>
              <w:textAlignment w:val="center"/>
              <w:rPr>
                <w:rFonts w:ascii="Calibri" w:hAnsi="Calibri" w:eastAsia="Times New Roman" w:cs="Calibri"/>
                <w:sz w:val="22"/>
                <w:lang w:eastAsia="ko-KR"/>
              </w:rPr>
            </w:pPr>
            <w:r w:rsidRPr="00862B30">
              <w:rPr>
                <w:rFonts w:ascii="Times" w:hAnsi="Times" w:eastAsia="Times New Roman" w:cs="Times"/>
                <w:color w:val="68717A"/>
                <w:szCs w:val="20"/>
                <w:lang w:eastAsia="ko-KR"/>
              </w:rPr>
              <w:t>Any other case, it is defined as beam misalignment</w:t>
            </w:r>
          </w:p>
          <w:p w:rsidRPr="00862B30" w:rsidR="00C63D43" w:rsidP="00C63D43" w:rsidRDefault="00C63D43" w14:paraId="716DA7F7" w14:textId="31F68C26">
            <w:pPr>
              <w:spacing w:after="120" w:line="252" w:lineRule="auto"/>
              <w:rPr>
                <w:rFonts w:eastAsia="SimSun"/>
                <w:iCs/>
                <w:strike/>
                <w:szCs w:val="24"/>
                <w:lang w:eastAsia="ja-JP"/>
              </w:rPr>
            </w:pPr>
          </w:p>
        </w:tc>
      </w:tr>
    </w:tbl>
    <w:p w:rsidRPr="00862B30" w:rsidR="007B23F6" w:rsidP="008F7DD8" w:rsidRDefault="007B23F6" w14:paraId="7C30DC1F" w14:textId="7585CF18"/>
    <w:p w:rsidRPr="00862B30" w:rsidR="00862B30" w:rsidP="008F7DD8" w:rsidRDefault="00862B30" w14:paraId="2966C27B" w14:textId="4C04FF7D">
      <w:r w:rsidRPr="00862B30">
        <w:t xml:space="preserve">As shown, the beam alignment is sure in the case that </w:t>
      </w:r>
      <w:r w:rsidRPr="00862B30">
        <w:rPr>
          <w:i/>
          <w:iCs/>
        </w:rPr>
        <w:t>PL-RS is identical to the source RS in UL or joint TCI,</w:t>
      </w:r>
      <w:r w:rsidRPr="00862B30">
        <w:t xml:space="preserve"> while the case that </w:t>
      </w:r>
      <w:r w:rsidRPr="00862B30">
        <w:rPr>
          <w:i/>
          <w:iCs/>
        </w:rPr>
        <w:t>PL-RS and source RS in UL or joint TCI is QCL-Type D</w:t>
      </w:r>
      <w:r w:rsidRPr="00862B30">
        <w:t xml:space="preserve"> (in yellow) has not fully agreed in RAN1.</w:t>
      </w:r>
    </w:p>
    <w:p w:rsidRPr="00862B30" w:rsidR="00165286" w:rsidP="008F7DD8" w:rsidRDefault="00F12EED" w14:paraId="51745D1B" w14:textId="685E1928">
      <w:r w:rsidRPr="004017B6">
        <w:rPr>
          <w:b/>
          <w:bCs/>
        </w:rPr>
        <w:t xml:space="preserve">Observation </w:t>
      </w:r>
      <w:proofErr w:type="gramStart"/>
      <w:r w:rsidRPr="004017B6">
        <w:rPr>
          <w:b/>
          <w:bCs/>
        </w:rPr>
        <w:t>1 :</w:t>
      </w:r>
      <w:proofErr w:type="gramEnd"/>
      <w:r>
        <w:t xml:space="preserve"> RAN1 has considered </w:t>
      </w:r>
      <w:r w:rsidR="00862B30">
        <w:t>beam alignment definition that PL-RS and source RS in UL or joint TCI is QCL-Type D, but it</w:t>
      </w:r>
      <w:r w:rsidR="00D70F80">
        <w:t xml:space="preserve"> is</w:t>
      </w:r>
      <w:r w:rsidR="00862B30">
        <w:t xml:space="preserve"> under FFS.</w:t>
      </w:r>
    </w:p>
    <w:p w:rsidRPr="00862B30" w:rsidR="00862B30" w:rsidP="008F7DD8" w:rsidRDefault="00862B30" w14:paraId="3F6D727F" w14:textId="6DD88E2A">
      <w:r w:rsidRPr="004017B6">
        <w:t>In practice, PL-RS is not necessarily to be same as the source RS. The source RS in TCI is to indicate the QCL type, but the path loss can be measured</w:t>
      </w:r>
      <w:r w:rsidRPr="004017B6" w:rsidR="00D70F80">
        <w:t xml:space="preserve"> on</w:t>
      </w:r>
      <w:r w:rsidRPr="004017B6">
        <w:t xml:space="preserve"> other RS, but PL-RS and source RS in UL or joint TCI must be </w:t>
      </w:r>
      <w:proofErr w:type="spellStart"/>
      <w:r w:rsidRPr="004017B6">
        <w:t>QCLed</w:t>
      </w:r>
      <w:proofErr w:type="spellEnd"/>
      <w:r w:rsidRPr="004017B6">
        <w:t xml:space="preserve"> by QCL-Type D.</w:t>
      </w:r>
      <w:r w:rsidRPr="004017B6" w:rsidR="00365616">
        <w:t xml:space="preserve"> For example, a UE can be configured with CSI-RS and SSB respectively for target PL-RS and source RS for UL. The indicated RSs can be different, but they are </w:t>
      </w:r>
      <w:proofErr w:type="spellStart"/>
      <w:r w:rsidRPr="004017B6" w:rsidR="00365616">
        <w:t>QCLed</w:t>
      </w:r>
      <w:proofErr w:type="spellEnd"/>
      <w:r w:rsidRPr="004017B6" w:rsidR="00365616">
        <w:t xml:space="preserve"> by </w:t>
      </w:r>
      <w:r w:rsidR="00365616">
        <w:t>t</w:t>
      </w:r>
      <w:r w:rsidRPr="004017B6" w:rsidR="00365616">
        <w:t>ype-D. Such a case will be common in the network.</w:t>
      </w:r>
    </w:p>
    <w:p w:rsidRPr="00862B30" w:rsidR="00581E33" w:rsidP="008F7DD8" w:rsidRDefault="00862B30" w14:paraId="1F5DA19C" w14:textId="531856C6">
      <w:r w:rsidRPr="004017B6">
        <w:rPr>
          <w:b/>
          <w:bCs/>
        </w:rPr>
        <w:t xml:space="preserve">Proposal </w:t>
      </w:r>
      <w:proofErr w:type="gramStart"/>
      <w:r w:rsidRPr="004017B6" w:rsidR="009A264D">
        <w:rPr>
          <w:b/>
          <w:bCs/>
        </w:rPr>
        <w:t xml:space="preserve">1 </w:t>
      </w:r>
      <w:r w:rsidRPr="004017B6">
        <w:rPr>
          <w:b/>
          <w:bCs/>
        </w:rPr>
        <w:t>:</w:t>
      </w:r>
      <w:proofErr w:type="gramEnd"/>
      <w:r w:rsidRPr="00862B30">
        <w:t xml:space="preserve"> Beam alignment definition </w:t>
      </w:r>
      <w:r w:rsidR="00365616">
        <w:t xml:space="preserve">should </w:t>
      </w:r>
      <w:r w:rsidRPr="00862B30">
        <w:t xml:space="preserve">include the case that PL-RS and source RS in UL or joint TCI </w:t>
      </w:r>
      <w:r w:rsidR="002C70FD">
        <w:t>are</w:t>
      </w:r>
      <w:r w:rsidRPr="00862B30" w:rsidR="002C70FD">
        <w:t xml:space="preserve"> </w:t>
      </w:r>
      <w:proofErr w:type="spellStart"/>
      <w:r w:rsidRPr="00862B30">
        <w:t>QCL</w:t>
      </w:r>
      <w:r w:rsidR="002C70FD">
        <w:t>ed</w:t>
      </w:r>
      <w:proofErr w:type="spellEnd"/>
      <w:r w:rsidR="002C70FD">
        <w:t xml:space="preserve"> by </w:t>
      </w:r>
      <w:r w:rsidRPr="00862B30">
        <w:t xml:space="preserve">Type D. </w:t>
      </w:r>
      <w:r w:rsidR="00365616">
        <w:t xml:space="preserve">  </w:t>
      </w:r>
      <w:r w:rsidR="00365616">
        <w:br/>
      </w:r>
    </w:p>
    <w:p w:rsidRPr="00862B30" w:rsidR="00862B30" w:rsidP="008F7DD8" w:rsidRDefault="00862B30" w14:paraId="3AB8167A" w14:textId="434322DB"/>
    <w:tbl>
      <w:tblPr>
        <w:tblStyle w:val="TableGrid"/>
        <w:tblW w:w="0" w:type="auto"/>
        <w:tblLook w:val="04A0" w:firstRow="1" w:lastRow="0" w:firstColumn="1" w:lastColumn="0" w:noHBand="0" w:noVBand="1"/>
      </w:tblPr>
      <w:tblGrid>
        <w:gridCol w:w="9062"/>
      </w:tblGrid>
      <w:tr w:rsidRPr="00862B30" w:rsidR="00862B30" w:rsidTr="00862B30" w14:paraId="57DFB8E4" w14:textId="77777777">
        <w:tc>
          <w:tcPr>
            <w:tcW w:w="9062" w:type="dxa"/>
          </w:tcPr>
          <w:p w:rsidRPr="00862B30" w:rsidR="00862B30" w:rsidP="00862B30" w:rsidRDefault="00862B30" w14:paraId="25D6C341" w14:textId="77777777">
            <w:pPr>
              <w:rPr>
                <w:rFonts w:ascii="Times" w:hAnsi="Times" w:eastAsia="Times New Roman" w:cs="Times"/>
                <w:b/>
                <w:bCs/>
                <w:szCs w:val="20"/>
                <w:highlight w:val="green"/>
                <w:lang w:eastAsia="ko-KR"/>
              </w:rPr>
            </w:pPr>
            <w:r w:rsidRPr="00862B30">
              <w:rPr>
                <w:rFonts w:ascii="Times" w:hAnsi="Times" w:eastAsia="Times New Roman" w:cs="Times"/>
                <w:b/>
                <w:bCs/>
                <w:szCs w:val="20"/>
                <w:highlight w:val="green"/>
                <w:lang w:eastAsia="ko-KR"/>
              </w:rPr>
              <w:t>RAN4 WF R4-2120320</w:t>
            </w:r>
          </w:p>
          <w:p w:rsidRPr="00862B30" w:rsidR="00862B30" w:rsidP="008F7DD8" w:rsidRDefault="00862B30" w14:paraId="2132A338" w14:textId="77777777"/>
          <w:p w:rsidRPr="00813321" w:rsidR="00813321" w:rsidP="00813321" w:rsidRDefault="00813321" w14:paraId="4A2A210F" w14:textId="77777777">
            <w:pPr>
              <w:pStyle w:val="ListParagraph"/>
              <w:numPr>
                <w:ilvl w:val="0"/>
                <w:numId w:val="16"/>
              </w:numPr>
              <w:spacing w:after="120"/>
              <w:contextualSpacing w:val="0"/>
            </w:pPr>
            <w:r w:rsidRPr="00813321">
              <w:t>No extra requirements beyond Rel-17 unified TCI switching delay requirements. Requirements for uplink TCI switching requirements is applied for MAC CE based PL-RS switching and DCI based PL-RS switching</w:t>
            </w:r>
          </w:p>
          <w:p w:rsidRPr="00813321" w:rsidR="00813321" w:rsidP="00813321" w:rsidRDefault="00813321" w14:paraId="4D4324C0" w14:textId="77777777">
            <w:pPr>
              <w:pStyle w:val="ListParagraph"/>
              <w:numPr>
                <w:ilvl w:val="0"/>
                <w:numId w:val="16"/>
              </w:numPr>
              <w:spacing w:after="120"/>
              <w:contextualSpacing w:val="0"/>
            </w:pPr>
            <w:r w:rsidRPr="00813321">
              <w:t xml:space="preserve">Delay component of measuring PL-RS will be specified for the following cases </w:t>
            </w:r>
          </w:p>
          <w:p w:rsidRPr="00813321" w:rsidR="00813321" w:rsidP="00813321" w:rsidRDefault="00813321" w14:paraId="23E5AD99" w14:textId="77777777">
            <w:pPr>
              <w:pStyle w:val="ListParagraph"/>
              <w:numPr>
                <w:ilvl w:val="1"/>
                <w:numId w:val="16"/>
              </w:numPr>
              <w:spacing w:after="120"/>
              <w:contextualSpacing w:val="0"/>
            </w:pPr>
            <w:r w:rsidRPr="00813321">
              <w:t xml:space="preserve">Known TCI but PL-RS is not maintained </w:t>
            </w:r>
          </w:p>
          <w:p w:rsidRPr="00813321" w:rsidR="00813321" w:rsidP="00813321" w:rsidRDefault="00813321" w14:paraId="3D4183E0" w14:textId="77777777">
            <w:pPr>
              <w:pStyle w:val="ListParagraph"/>
              <w:numPr>
                <w:ilvl w:val="1"/>
                <w:numId w:val="16"/>
              </w:numPr>
              <w:spacing w:after="120"/>
              <w:contextualSpacing w:val="0"/>
            </w:pPr>
            <w:r w:rsidRPr="00813321">
              <w:t xml:space="preserve">Unknow TCI </w:t>
            </w:r>
          </w:p>
          <w:p w:rsidRPr="00862B30" w:rsidR="00862B30" w:rsidP="008F7DD8" w:rsidRDefault="00862B30" w14:paraId="58BFF9D1" w14:textId="1932BA84"/>
        </w:tc>
      </w:tr>
    </w:tbl>
    <w:p w:rsidR="00862B30" w:rsidP="008F7DD8" w:rsidRDefault="00862B30" w14:paraId="019D11EA" w14:textId="0E11BFDB"/>
    <w:p w:rsidRPr="00862B30" w:rsidR="00813321" w:rsidP="008F7DD8" w:rsidRDefault="00FE268D" w14:paraId="59F9E38A" w14:textId="6F6E1E8E">
      <w:r>
        <w:t>When a UE is configured with PL-RS to measure path loss for UL, its RX beam can be switched by TCI comm</w:t>
      </w:r>
      <w:r w:rsidR="00A90D0E">
        <w:t>an</w:t>
      </w:r>
      <w:r>
        <w:t xml:space="preserve">d. In Rel-16, there was no way to switch a UL beam specifically, the PL-RS switching should have been defined to allow a UE to measure path loss by RX beam switching. In Rel-17 unified TCI framework, UL TCI can be switched specific direction using both DCI and MAC-CE, RAN4 reached to agreement that requirements for uplink TCI switching is applied for </w:t>
      </w:r>
      <w:r w:rsidR="00A90D0E">
        <w:t xml:space="preserve">both </w:t>
      </w:r>
      <w:r>
        <w:t xml:space="preserve">MAC CE based PL-RS switching and </w:t>
      </w:r>
      <w:r w:rsidR="00A90D0E">
        <w:t xml:space="preserve">for </w:t>
      </w:r>
      <w:r>
        <w:t>DCI based PL-RS switching.</w:t>
      </w:r>
    </w:p>
    <w:p w:rsidRPr="00862B30" w:rsidR="00FE268D" w:rsidP="00FE268D" w:rsidRDefault="00FE268D" w14:paraId="3DEFFB1D" w14:textId="19E7E39F">
      <w:pPr>
        <w:spacing w:after="120" w:line="240" w:lineRule="auto"/>
      </w:pPr>
      <w:r w:rsidRPr="00FE268D">
        <w:t>If the target pathloss reference signal is known</w:t>
      </w:r>
      <w:r w:rsidRPr="00862B30">
        <w:t xml:space="preserve">, the MAC CE based uplink TCI switching delay requirement is specified as </w:t>
      </w:r>
    </w:p>
    <w:p w:rsidRPr="00862B30" w:rsidR="00FE268D" w:rsidP="00FE268D" w:rsidRDefault="00FE268D" w14:paraId="3A81535D" w14:textId="77777777">
      <w:pPr>
        <w:pStyle w:val="ListParagraph"/>
        <w:spacing w:after="120"/>
        <w:rPr>
          <w:rFonts w:eastAsia="Times New Roman"/>
          <w:bCs/>
          <w:i/>
          <w:szCs w:val="21"/>
        </w:rPr>
      </w:pPr>
      <w:r w:rsidRPr="00862B30">
        <w:rPr>
          <w:rFonts w:eastAsia="Times New Roman"/>
          <w:bCs/>
          <w:i/>
          <w:szCs w:val="21"/>
        </w:rPr>
        <w:t>T</w:t>
      </w:r>
      <w:r w:rsidRPr="00862B30">
        <w:rPr>
          <w:rFonts w:eastAsia="Times New Roman"/>
          <w:bCs/>
          <w:i/>
          <w:szCs w:val="21"/>
          <w:vertAlign w:val="subscript"/>
        </w:rPr>
        <w:t>HARQ</w:t>
      </w:r>
      <w:r w:rsidRPr="00862B30">
        <w:rPr>
          <w:rFonts w:eastAsia="Times New Roman"/>
          <w:bCs/>
          <w:i/>
          <w:szCs w:val="21"/>
        </w:rPr>
        <w:t xml:space="preserve"> + 3ms + NM*(</w:t>
      </w:r>
      <w:proofErr w:type="spellStart"/>
      <w:r w:rsidRPr="00862B30">
        <w:rPr>
          <w:rFonts w:eastAsia="Times New Roman"/>
          <w:bCs/>
          <w:i/>
          <w:szCs w:val="21"/>
        </w:rPr>
        <w:t>T</w:t>
      </w:r>
      <w:r w:rsidRPr="00862B30">
        <w:rPr>
          <w:rFonts w:eastAsia="Times New Roman"/>
          <w:bCs/>
          <w:i/>
          <w:szCs w:val="21"/>
          <w:vertAlign w:val="subscript"/>
        </w:rPr>
        <w:t>first_target</w:t>
      </w:r>
      <w:proofErr w:type="spellEnd"/>
      <w:r w:rsidRPr="00862B30">
        <w:rPr>
          <w:rFonts w:eastAsia="Times New Roman"/>
          <w:bCs/>
          <w:i/>
          <w:szCs w:val="21"/>
          <w:vertAlign w:val="subscript"/>
        </w:rPr>
        <w:t xml:space="preserve">-PL-RS </w:t>
      </w:r>
      <w:r w:rsidRPr="00862B30">
        <w:rPr>
          <w:rFonts w:eastAsia="Times New Roman"/>
          <w:bCs/>
          <w:i/>
          <w:szCs w:val="21"/>
        </w:rPr>
        <w:t>+ 4*</w:t>
      </w:r>
      <w:proofErr w:type="spellStart"/>
      <w:r w:rsidRPr="00862B30">
        <w:rPr>
          <w:rFonts w:eastAsia="Times New Roman"/>
          <w:bCs/>
          <w:i/>
          <w:szCs w:val="21"/>
        </w:rPr>
        <w:t>T</w:t>
      </w:r>
      <w:r w:rsidRPr="00862B30">
        <w:rPr>
          <w:rFonts w:eastAsia="Times New Roman"/>
          <w:bCs/>
          <w:i/>
          <w:szCs w:val="21"/>
          <w:vertAlign w:val="subscript"/>
        </w:rPr>
        <w:t>target_PL</w:t>
      </w:r>
      <w:proofErr w:type="spellEnd"/>
      <w:r w:rsidRPr="00862B30">
        <w:rPr>
          <w:rFonts w:eastAsia="Times New Roman"/>
          <w:bCs/>
          <w:i/>
          <w:szCs w:val="21"/>
          <w:vertAlign w:val="subscript"/>
        </w:rPr>
        <w:t xml:space="preserve">-RS </w:t>
      </w:r>
      <w:r w:rsidRPr="00862B30">
        <w:rPr>
          <w:rFonts w:eastAsia="Times New Roman"/>
          <w:bCs/>
          <w:i/>
          <w:szCs w:val="21"/>
        </w:rPr>
        <w:t>+ 2ms)</w:t>
      </w:r>
    </w:p>
    <w:p w:rsidR="00FE268D" w:rsidP="008F7DD8" w:rsidRDefault="00FE268D" w14:paraId="0CB07AA9" w14:textId="55A04FF5"/>
    <w:p w:rsidR="000E412C" w:rsidP="008F7DD8" w:rsidRDefault="000E412C" w14:paraId="2987B10F" w14:textId="0D2C6831"/>
    <w:p w:rsidRPr="00830A59" w:rsidR="009A22A3" w:rsidP="009A22A3" w:rsidRDefault="009A22A3" w14:paraId="23C0FB4E" w14:textId="14C808D0">
      <w:pPr>
        <w:rPr>
          <w:u w:val="single"/>
        </w:rPr>
      </w:pPr>
      <w:r>
        <w:rPr>
          <w:b/>
          <w:bCs/>
          <w:u w:val="single"/>
        </w:rPr>
        <w:lastRenderedPageBreak/>
        <w:t>MAC-CE</w:t>
      </w:r>
      <w:r w:rsidRPr="00830A59">
        <w:rPr>
          <w:b/>
          <w:bCs/>
          <w:u w:val="single"/>
        </w:rPr>
        <w:t>-based PL-RS switching</w:t>
      </w:r>
      <w:r>
        <w:rPr>
          <w:b/>
          <w:bCs/>
          <w:u w:val="single"/>
        </w:rPr>
        <w:t xml:space="preserve"> delay requirement</w:t>
      </w:r>
    </w:p>
    <w:p w:rsidR="00336E46" w:rsidP="00336E46" w:rsidRDefault="00336E46" w14:paraId="5D94BB8B" w14:textId="1B4B8D1F">
      <w:r w:rsidRPr="004017B6">
        <w:rPr>
          <w:b/>
          <w:bCs/>
          <w:u w:val="single"/>
        </w:rPr>
        <w:t>When PL-RS is identical to the source RS in UL</w:t>
      </w:r>
      <w:r w:rsidRPr="004017B6" w:rsidR="00BF60FB">
        <w:rPr>
          <w:b/>
          <w:bCs/>
          <w:u w:val="single"/>
        </w:rPr>
        <w:t>/</w:t>
      </w:r>
      <w:r w:rsidRPr="004017B6">
        <w:rPr>
          <w:b/>
          <w:bCs/>
          <w:u w:val="single"/>
        </w:rPr>
        <w:t xml:space="preserve">joint </w:t>
      </w:r>
      <w:r w:rsidRPr="004017B6" w:rsidR="3D0EE882">
        <w:rPr>
          <w:b/>
          <w:bCs/>
          <w:u w:val="single"/>
        </w:rPr>
        <w:t xml:space="preserve">TCI </w:t>
      </w:r>
      <w:r w:rsidRPr="004017B6" w:rsidR="003278B1">
        <w:rPr>
          <w:b/>
          <w:bCs/>
        </w:rPr>
        <w:t>AND</w:t>
      </w:r>
      <w:r w:rsidRPr="004017B6" w:rsidR="003278B1">
        <w:rPr>
          <w:b/>
          <w:bCs/>
          <w:u w:val="single"/>
        </w:rPr>
        <w:t xml:space="preserve"> </w:t>
      </w:r>
      <w:r w:rsidRPr="004017B6">
        <w:rPr>
          <w:b/>
          <w:bCs/>
          <w:u w:val="single"/>
        </w:rPr>
        <w:t xml:space="preserve">when the target </w:t>
      </w:r>
      <w:r w:rsidRPr="004017B6" w:rsidR="003278B1">
        <w:rPr>
          <w:b/>
          <w:bCs/>
          <w:u w:val="single"/>
        </w:rPr>
        <w:t>PL-RS</w:t>
      </w:r>
      <w:r w:rsidRPr="004017B6">
        <w:rPr>
          <w:b/>
          <w:bCs/>
          <w:u w:val="single"/>
        </w:rPr>
        <w:t xml:space="preserve"> is </w:t>
      </w:r>
      <w:proofErr w:type="gramStart"/>
      <w:r w:rsidRPr="004017B6">
        <w:rPr>
          <w:b/>
          <w:bCs/>
          <w:u w:val="single"/>
        </w:rPr>
        <w:t>known</w:t>
      </w:r>
      <w:r w:rsidRPr="004017B6" w:rsidR="003278B1">
        <w:rPr>
          <w:b/>
          <w:bCs/>
          <w:u w:val="single"/>
        </w:rPr>
        <w:t xml:space="preserve"> </w:t>
      </w:r>
      <w:r w:rsidRPr="004017B6">
        <w:rPr>
          <w:b/>
          <w:bCs/>
          <w:u w:val="single"/>
        </w:rPr>
        <w:t>:</w:t>
      </w:r>
      <w:proofErr w:type="gramEnd"/>
      <w:r w:rsidRPr="237F0D4C">
        <w:rPr>
          <w:u w:val="single"/>
        </w:rPr>
        <w:t xml:space="preserve"> </w:t>
      </w:r>
      <w:r w:rsidR="003278B1">
        <w:rPr>
          <w:u w:val="single"/>
        </w:rPr>
        <w:br/>
      </w:r>
      <w:r w:rsidR="003278B1">
        <w:t xml:space="preserve">This case has no problem to reuse UL-TCI requirement for PL-RS switching requirement. </w:t>
      </w:r>
    </w:p>
    <w:p w:rsidR="003278B1" w:rsidP="003278B1" w:rsidRDefault="003278B1" w14:paraId="54A69D0B" w14:textId="385C0966">
      <w:r w:rsidRPr="237F0D4C">
        <w:rPr>
          <w:u w:val="single"/>
        </w:rPr>
        <w:t>When PL-RS is identical to the source RS in UL</w:t>
      </w:r>
      <w:r>
        <w:rPr>
          <w:u w:val="single"/>
        </w:rPr>
        <w:t>/</w:t>
      </w:r>
      <w:r w:rsidRPr="237F0D4C">
        <w:rPr>
          <w:u w:val="single"/>
        </w:rPr>
        <w:t>joint TCI</w:t>
      </w:r>
      <w:r w:rsidRPr="004017B6">
        <w:t xml:space="preserve"> AND </w:t>
      </w:r>
      <w:r w:rsidRPr="237F0D4C">
        <w:rPr>
          <w:u w:val="single"/>
        </w:rPr>
        <w:t xml:space="preserve">when the target </w:t>
      </w:r>
      <w:r>
        <w:rPr>
          <w:u w:val="single"/>
        </w:rPr>
        <w:t>PL-RS</w:t>
      </w:r>
      <w:r w:rsidRPr="237F0D4C">
        <w:rPr>
          <w:u w:val="single"/>
        </w:rPr>
        <w:t xml:space="preserve"> is </w:t>
      </w:r>
      <w:proofErr w:type="gramStart"/>
      <w:r>
        <w:rPr>
          <w:u w:val="single"/>
        </w:rPr>
        <w:t>un</w:t>
      </w:r>
      <w:r w:rsidRPr="237F0D4C">
        <w:rPr>
          <w:u w:val="single"/>
        </w:rPr>
        <w:t>known</w:t>
      </w:r>
      <w:r>
        <w:rPr>
          <w:u w:val="single"/>
        </w:rPr>
        <w:t xml:space="preserve"> </w:t>
      </w:r>
      <w:r w:rsidRPr="237F0D4C">
        <w:rPr>
          <w:u w:val="single"/>
        </w:rPr>
        <w:t>:</w:t>
      </w:r>
      <w:proofErr w:type="gramEnd"/>
      <w:r>
        <w:rPr>
          <w:u w:val="single"/>
        </w:rPr>
        <w:br/>
      </w:r>
      <w:r>
        <w:t>In Rel-16 PL-RS switching requirement in TS38.133 8.14, the requirement is not defined when the target pathloss reference signal is unknown</w:t>
      </w:r>
      <w:r w:rsidR="003F47F2">
        <w:t>, and just state a n</w:t>
      </w:r>
      <w:r w:rsidRPr="003F47F2" w:rsidR="003F47F2">
        <w:t>ote</w:t>
      </w:r>
      <w:r w:rsidR="003F47F2">
        <w:t xml:space="preserve"> that </w:t>
      </w:r>
      <w:r w:rsidRPr="003F47F2" w:rsidR="003F47F2">
        <w:t>longer application time is expected if the pathloss reference signal is unknown.</w:t>
      </w:r>
      <w:r w:rsidR="003F47F2">
        <w:t xml:space="preserve"> </w:t>
      </w:r>
      <w:r>
        <w:t>This case is assumed that both the source RS in the UL-TCI and the target PL-RS are unknown</w:t>
      </w:r>
      <w:r w:rsidR="003F47F2">
        <w:t xml:space="preserve">, so a UE should require extra time to find a beam. </w:t>
      </w:r>
      <w:r>
        <w:t>We propose not to study PL-RS switching delay requirement when PL-RS is identical to the source RS in TCI and when the target pathloss reference signal is unknown.</w:t>
      </w:r>
    </w:p>
    <w:p w:rsidR="00212FCF" w:rsidP="003278B1" w:rsidRDefault="00212FCF" w14:paraId="7A5641C5" w14:textId="22CB5286">
      <w:pPr>
        <w:rPr>
          <w:highlight w:val="yellow"/>
        </w:rPr>
      </w:pPr>
      <w:r w:rsidRPr="004017B6">
        <w:rPr>
          <w:b/>
          <w:bCs/>
        </w:rPr>
        <w:t xml:space="preserve">Proposal </w:t>
      </w:r>
      <w:proofErr w:type="gramStart"/>
      <w:r w:rsidRPr="004017B6" w:rsidR="009A264D">
        <w:rPr>
          <w:b/>
          <w:bCs/>
        </w:rPr>
        <w:t>2</w:t>
      </w:r>
      <w:r w:rsidRPr="004017B6">
        <w:rPr>
          <w:b/>
          <w:bCs/>
        </w:rPr>
        <w:t xml:space="preserve"> :</w:t>
      </w:r>
      <w:proofErr w:type="gramEnd"/>
      <w:r>
        <w:t xml:space="preserve"> We propose to apply </w:t>
      </w:r>
      <w:r w:rsidRPr="004017B6">
        <w:t>the known state</w:t>
      </w:r>
      <w:r>
        <w:t xml:space="preserve"> UL-</w:t>
      </w:r>
      <w:r w:rsidRPr="00D03764">
        <w:t xml:space="preserve">TCI </w:t>
      </w:r>
      <w:r>
        <w:t xml:space="preserve">switching requirement for PL-RS switching delay when PL-RS is identical to the source RS in UL/Joint-TCI  </w:t>
      </w:r>
      <w:r w:rsidRPr="004017B6">
        <w:rPr>
          <w:b/>
          <w:bCs/>
        </w:rPr>
        <w:t xml:space="preserve">AND </w:t>
      </w:r>
      <w:r w:rsidR="005627D7">
        <w:rPr>
          <w:b/>
          <w:bCs/>
        </w:rPr>
        <w:t xml:space="preserve"> </w:t>
      </w:r>
      <w:r>
        <w:t>when the target PL-RS is known.</w:t>
      </w:r>
      <w:r>
        <w:br/>
      </w:r>
    </w:p>
    <w:p w:rsidR="003278B1" w:rsidP="003278B1" w:rsidRDefault="003278B1" w14:paraId="188593D1" w14:textId="437ACB80">
      <w:r w:rsidRPr="004017B6">
        <w:rPr>
          <w:b/>
          <w:bCs/>
        </w:rPr>
        <w:t xml:space="preserve">Proposal </w:t>
      </w:r>
      <w:proofErr w:type="gramStart"/>
      <w:r w:rsidRPr="004017B6" w:rsidR="009A264D">
        <w:rPr>
          <w:b/>
          <w:bCs/>
        </w:rPr>
        <w:t>3</w:t>
      </w:r>
      <w:r w:rsidRPr="004017B6">
        <w:rPr>
          <w:b/>
          <w:bCs/>
        </w:rPr>
        <w:t xml:space="preserve"> :</w:t>
      </w:r>
      <w:proofErr w:type="gramEnd"/>
      <w:r>
        <w:t xml:space="preserve"> We propose not to </w:t>
      </w:r>
      <w:r w:rsidR="00212FCF">
        <w:t>define</w:t>
      </w:r>
      <w:r>
        <w:t xml:space="preserve"> PL-RS switching delay requirement when PL-RS is identical to the source RS in UL/Joint-TCI  </w:t>
      </w:r>
      <w:r w:rsidRPr="004017B6">
        <w:rPr>
          <w:b/>
          <w:bCs/>
        </w:rPr>
        <w:t xml:space="preserve"> AND</w:t>
      </w:r>
      <w:r>
        <w:t xml:space="preserve">   when the target PL-RS is unknown.</w:t>
      </w:r>
      <w:r>
        <w:br/>
      </w:r>
      <w:r>
        <w:tab/>
      </w:r>
      <w:r>
        <w:t>- B</w:t>
      </w:r>
      <w:r w:rsidRPr="003278B1">
        <w:t xml:space="preserve">oth the source RS in the UL-TCI and the target PL-RS are </w:t>
      </w:r>
      <w:r>
        <w:t xml:space="preserve">assumed </w:t>
      </w:r>
      <w:r w:rsidRPr="003278B1">
        <w:t>unknown</w:t>
      </w:r>
      <w:r w:rsidR="005627D7">
        <w:t xml:space="preserve"> as consequence</w:t>
      </w:r>
    </w:p>
    <w:p w:rsidR="00212FCF" w:rsidP="00336E46" w:rsidRDefault="00212FCF" w14:paraId="7FBC8F5D" w14:textId="77777777">
      <w:pPr>
        <w:rPr>
          <w:u w:val="single"/>
        </w:rPr>
      </w:pPr>
    </w:p>
    <w:p w:rsidR="001A7A63" w:rsidP="00336E46" w:rsidRDefault="00336E46" w14:paraId="0B500B6E" w14:textId="77777777">
      <w:pPr>
        <w:rPr>
          <w:u w:val="single"/>
        </w:rPr>
      </w:pPr>
      <w:r w:rsidRPr="004017B6">
        <w:rPr>
          <w:b/>
          <w:bCs/>
          <w:u w:val="single"/>
        </w:rPr>
        <w:t>When PL-RS and source RS in UL or joint TCI is QCL-Type D</w:t>
      </w:r>
      <w:r w:rsidRPr="004017B6" w:rsidR="00D70F80">
        <w:rPr>
          <w:b/>
          <w:bCs/>
          <w:u w:val="single"/>
        </w:rPr>
        <w:t xml:space="preserve"> are not identical but </w:t>
      </w:r>
      <w:proofErr w:type="spellStart"/>
      <w:r w:rsidRPr="004017B6" w:rsidR="00D70F80">
        <w:rPr>
          <w:b/>
          <w:bCs/>
          <w:u w:val="single"/>
        </w:rPr>
        <w:t>QCLed</w:t>
      </w:r>
      <w:proofErr w:type="spellEnd"/>
      <w:r w:rsidRPr="004017B6" w:rsidR="00D70F80">
        <w:rPr>
          <w:b/>
          <w:bCs/>
          <w:u w:val="single"/>
        </w:rPr>
        <w:t xml:space="preserve"> by Type-</w:t>
      </w:r>
      <w:proofErr w:type="gramStart"/>
      <w:r w:rsidRPr="004017B6" w:rsidR="00D70F80">
        <w:rPr>
          <w:b/>
          <w:bCs/>
          <w:u w:val="single"/>
        </w:rPr>
        <w:t>D</w:t>
      </w:r>
      <w:r w:rsidRPr="004017B6" w:rsidR="00D70F80">
        <w:rPr>
          <w:b/>
          <w:bCs/>
        </w:rPr>
        <w:t xml:space="preserve">  </w:t>
      </w:r>
      <w:r w:rsidRPr="004017B6" w:rsidR="000E412C">
        <w:rPr>
          <w:b/>
          <w:bCs/>
          <w:u w:val="single"/>
        </w:rPr>
        <w:t>:</w:t>
      </w:r>
      <w:proofErr w:type="gramEnd"/>
      <w:r w:rsidRPr="237F0D4C" w:rsidR="000E412C">
        <w:rPr>
          <w:u w:val="single"/>
        </w:rPr>
        <w:t xml:space="preserve">  </w:t>
      </w:r>
    </w:p>
    <w:p w:rsidR="00D70F80" w:rsidP="00336E46" w:rsidRDefault="00336E46" w14:paraId="1DADAC13" w14:textId="72E04254">
      <w:r>
        <w:t xml:space="preserve">In this case, RAN4 </w:t>
      </w:r>
      <w:r w:rsidR="00D70F80">
        <w:t xml:space="preserve">needs to </w:t>
      </w:r>
      <w:r>
        <w:t xml:space="preserve">have more discussions. </w:t>
      </w:r>
    </w:p>
    <w:p w:rsidR="00D70F80" w:rsidP="00D70F80" w:rsidRDefault="00D70F80" w14:paraId="6CCA905B" w14:textId="71C8A499">
      <w:r>
        <w:t xml:space="preserve">Firstly, there is no problem to reuse the UL-TCI </w:t>
      </w:r>
      <w:r w:rsidRPr="004017B6">
        <w:t xml:space="preserve">requirement when PL-RS and source RS in UL or joint TCI is </w:t>
      </w:r>
      <w:proofErr w:type="spellStart"/>
      <w:r w:rsidRPr="004017B6">
        <w:t>QCLed</w:t>
      </w:r>
      <w:proofErr w:type="spellEnd"/>
      <w:r w:rsidRPr="004017B6">
        <w:t xml:space="preserve"> by Type-</w:t>
      </w:r>
      <w:proofErr w:type="gramStart"/>
      <w:r w:rsidRPr="004017B6">
        <w:t>D  AND</w:t>
      </w:r>
      <w:proofErr w:type="gramEnd"/>
      <w:r w:rsidRPr="004017B6">
        <w:t xml:space="preserve"> </w:t>
      </w:r>
      <w:r w:rsidRPr="004017B6">
        <w:rPr>
          <w:rFonts w:hint="eastAsia" w:eastAsiaTheme="minorEastAsia"/>
          <w:lang w:eastAsia="ko-KR"/>
        </w:rPr>
        <w:t xml:space="preserve"> </w:t>
      </w:r>
      <w:r w:rsidRPr="004017B6">
        <w:t>when both the UL-TCI state and the target PL-RS are known. We</w:t>
      </w:r>
      <w:r>
        <w:t xml:space="preserve"> shall agree on this case.</w:t>
      </w:r>
    </w:p>
    <w:p w:rsidR="00D70F80" w:rsidP="00D70F80" w:rsidRDefault="00D70F80" w14:paraId="3210F3B6" w14:textId="038A5B87">
      <w:r w:rsidRPr="004017B6">
        <w:rPr>
          <w:b/>
          <w:bCs/>
        </w:rPr>
        <w:t xml:space="preserve">Proposal </w:t>
      </w:r>
      <w:proofErr w:type="gramStart"/>
      <w:r w:rsidRPr="004017B6" w:rsidR="009A264D">
        <w:rPr>
          <w:b/>
          <w:bCs/>
        </w:rPr>
        <w:t>4</w:t>
      </w:r>
      <w:r w:rsidRPr="004017B6">
        <w:rPr>
          <w:b/>
          <w:bCs/>
        </w:rPr>
        <w:t xml:space="preserve"> :</w:t>
      </w:r>
      <w:proofErr w:type="gramEnd"/>
      <w:r w:rsidRPr="004017B6">
        <w:rPr>
          <w:b/>
          <w:bCs/>
        </w:rPr>
        <w:t xml:space="preserve"> </w:t>
      </w:r>
      <w:bookmarkStart w:name="_Hlk95700355" w:id="0"/>
      <w:r>
        <w:t xml:space="preserve">Reuse MAC-CE based UL TCI switching delay requirement of </w:t>
      </w:r>
      <w:r w:rsidRPr="004017B6">
        <w:t xml:space="preserve">known UL target TCI state </w:t>
      </w:r>
      <w:bookmarkEnd w:id="0"/>
      <w:r w:rsidRPr="004017B6">
        <w:t xml:space="preserve">when PL-RS and source RS in UL or joint TCI is </w:t>
      </w:r>
      <w:proofErr w:type="spellStart"/>
      <w:r w:rsidRPr="004017B6">
        <w:t>QCLed</w:t>
      </w:r>
      <w:proofErr w:type="spellEnd"/>
      <w:r w:rsidRPr="004017B6">
        <w:t xml:space="preserve"> by Type-D  </w:t>
      </w:r>
      <w:r w:rsidRPr="004017B6">
        <w:rPr>
          <w:b/>
          <w:bCs/>
        </w:rPr>
        <w:t>AND</w:t>
      </w:r>
      <w:r w:rsidRPr="004017B6">
        <w:t xml:space="preserve"> </w:t>
      </w:r>
      <w:r w:rsidRPr="004017B6">
        <w:rPr>
          <w:rFonts w:hint="eastAsia" w:eastAsiaTheme="minorEastAsia"/>
          <w:lang w:eastAsia="ko-KR"/>
        </w:rPr>
        <w:t xml:space="preserve"> </w:t>
      </w:r>
      <w:r w:rsidRPr="004017B6">
        <w:t>when both the UL-TCI state and the target PL-RS are known</w:t>
      </w:r>
      <w:r w:rsidRPr="004017B6" w:rsidDel="00D70F80">
        <w:t xml:space="preserve"> </w:t>
      </w:r>
      <w:r w:rsidRPr="004017B6">
        <w:t>.</w:t>
      </w:r>
    </w:p>
    <w:p w:rsidRPr="00336E46" w:rsidR="00336E46" w:rsidP="00336E46" w:rsidRDefault="00D70F80" w14:paraId="5274DA64" w14:textId="4A34D561">
      <w:r>
        <w:t>Next, there is a remaining issue how to apply the requirement either one of state is unknown.</w:t>
      </w:r>
      <w:r w:rsidR="00BF60FB">
        <w:t xml:space="preserve"> </w:t>
      </w:r>
      <w:r w:rsidR="00336E46">
        <w:t xml:space="preserve">We foresee two cases can </w:t>
      </w:r>
      <w:r w:rsidR="000E412C">
        <w:t>happen</w:t>
      </w:r>
      <w:r w:rsidR="003278B1">
        <w:t xml:space="preserve"> either</w:t>
      </w:r>
    </w:p>
    <w:p w:rsidRPr="00336E46" w:rsidR="00336E46" w:rsidP="00336E46" w:rsidRDefault="00336E46" w14:paraId="63DB3BC7" w14:textId="26CF7C5D">
      <w:pPr>
        <w:pStyle w:val="ListParagraph"/>
        <w:numPr>
          <w:ilvl w:val="0"/>
          <w:numId w:val="33"/>
        </w:numPr>
      </w:pPr>
      <w:r w:rsidRPr="00336E46">
        <w:t>when the target pathloss reference signal is unknown</w:t>
      </w:r>
      <w:r w:rsidR="004B6A5E">
        <w:t xml:space="preserve"> OR</w:t>
      </w:r>
    </w:p>
    <w:p w:rsidRPr="008D3DBF" w:rsidR="00336E46" w:rsidP="00336E46" w:rsidRDefault="00336E46" w14:paraId="4175E644" w14:textId="044FA0E6">
      <w:pPr>
        <w:pStyle w:val="ListParagraph"/>
        <w:numPr>
          <w:ilvl w:val="0"/>
          <w:numId w:val="33"/>
        </w:numPr>
      </w:pPr>
      <w:r w:rsidRPr="008D3DBF">
        <w:t xml:space="preserve">when the UL target TCI </w:t>
      </w:r>
      <w:r w:rsidRPr="008D3DBF" w:rsidR="00B431F3">
        <w:t>state</w:t>
      </w:r>
      <w:r w:rsidRPr="008D3DBF">
        <w:t xml:space="preserve"> is unknown</w:t>
      </w:r>
    </w:p>
    <w:p w:rsidR="001A7A63" w:rsidP="00336E46" w:rsidRDefault="001A7A63" w14:paraId="6833FAE3" w14:textId="40C14996">
      <w:r w:rsidRPr="001A7A63">
        <w:t xml:space="preserve">The unknown </w:t>
      </w:r>
      <w:r>
        <w:t xml:space="preserve">UL-TCI switching </w:t>
      </w:r>
      <w:r w:rsidRPr="001A7A63">
        <w:t xml:space="preserve">case </w:t>
      </w:r>
      <w:r>
        <w:t xml:space="preserve">from the agreement </w:t>
      </w:r>
      <w:r w:rsidRPr="001A7A63">
        <w:t>include</w:t>
      </w:r>
      <w:r>
        <w:t>s the time to maintain the PL-RS. So, the PL-RS switching behavior is aligned with this UL-TCI switching behavior. There will be no problem to apply it for PL-RS in principle, but it needs a bit more case studies.</w:t>
      </w:r>
    </w:p>
    <w:p w:rsidRPr="00862B30" w:rsidR="001A7A63" w:rsidP="001A7A63" w:rsidRDefault="001A7A63" w14:paraId="0463A15E" w14:textId="77777777">
      <w:pPr>
        <w:pStyle w:val="ListParagraph"/>
        <w:numPr>
          <w:ilvl w:val="0"/>
          <w:numId w:val="16"/>
        </w:numPr>
        <w:spacing w:after="120" w:line="240" w:lineRule="auto"/>
        <w:contextualSpacing w:val="0"/>
      </w:pPr>
      <w:r w:rsidRPr="00862B30">
        <w:t xml:space="preserve">For TCI unknow case, MAC CE based uplink TCI switching delay requirement is specified as </w:t>
      </w:r>
    </w:p>
    <w:p w:rsidRPr="00862B30" w:rsidR="001A7A63" w:rsidP="001A7A63" w:rsidRDefault="001A7A63" w14:paraId="7D3251DC" w14:textId="77777777">
      <w:pPr>
        <w:pStyle w:val="ListParagraph"/>
        <w:spacing w:after="120"/>
        <w:ind w:left="1800"/>
        <w:rPr>
          <w:rFonts w:eastAsia="Times New Roman"/>
          <w:bCs/>
          <w:i/>
          <w:szCs w:val="21"/>
        </w:rPr>
      </w:pPr>
      <w:r w:rsidRPr="00862B30">
        <w:rPr>
          <w:rFonts w:eastAsia="Times New Roman"/>
          <w:bCs/>
          <w:i/>
          <w:szCs w:val="21"/>
        </w:rPr>
        <w:t>T</w:t>
      </w:r>
      <w:r w:rsidRPr="00862B30">
        <w:rPr>
          <w:rFonts w:eastAsia="Times New Roman"/>
          <w:bCs/>
          <w:i/>
          <w:szCs w:val="21"/>
          <w:vertAlign w:val="subscript"/>
        </w:rPr>
        <w:t>HARQ</w:t>
      </w:r>
      <w:r w:rsidRPr="00862B30">
        <w:rPr>
          <w:rFonts w:eastAsia="Times New Roman"/>
          <w:bCs/>
          <w:i/>
          <w:szCs w:val="21"/>
        </w:rPr>
        <w:t xml:space="preserve"> + 3ms + T</w:t>
      </w:r>
      <w:r w:rsidRPr="00862B30">
        <w:rPr>
          <w:rFonts w:eastAsia="Times New Roman"/>
          <w:bCs/>
          <w:i/>
          <w:szCs w:val="21"/>
          <w:vertAlign w:val="subscript"/>
        </w:rPr>
        <w:t xml:space="preserve">L1-RSRP </w:t>
      </w:r>
      <w:r w:rsidRPr="00862B30">
        <w:rPr>
          <w:rFonts w:eastAsia="Times New Roman"/>
          <w:bCs/>
          <w:i/>
          <w:szCs w:val="21"/>
        </w:rPr>
        <w:t>+ (</w:t>
      </w:r>
      <w:proofErr w:type="spellStart"/>
      <w:r w:rsidRPr="00862B30">
        <w:rPr>
          <w:rFonts w:eastAsia="Times New Roman"/>
          <w:bCs/>
          <w:i/>
          <w:szCs w:val="21"/>
        </w:rPr>
        <w:t>T</w:t>
      </w:r>
      <w:r w:rsidRPr="00862B30">
        <w:rPr>
          <w:rFonts w:eastAsia="Times New Roman"/>
          <w:bCs/>
          <w:i/>
          <w:szCs w:val="21"/>
          <w:vertAlign w:val="subscript"/>
        </w:rPr>
        <w:t>first_target</w:t>
      </w:r>
      <w:proofErr w:type="spellEnd"/>
      <w:r w:rsidRPr="00862B30">
        <w:rPr>
          <w:rFonts w:eastAsia="Times New Roman"/>
          <w:bCs/>
          <w:i/>
          <w:szCs w:val="21"/>
          <w:vertAlign w:val="subscript"/>
        </w:rPr>
        <w:t xml:space="preserve">-PL-RS </w:t>
      </w:r>
      <w:r w:rsidRPr="00862B30">
        <w:rPr>
          <w:rFonts w:eastAsia="Times New Roman"/>
          <w:bCs/>
          <w:i/>
          <w:szCs w:val="21"/>
        </w:rPr>
        <w:t>+ 4*</w:t>
      </w:r>
      <w:proofErr w:type="spellStart"/>
      <w:r w:rsidRPr="00862B30">
        <w:rPr>
          <w:rFonts w:eastAsia="Times New Roman"/>
          <w:bCs/>
          <w:i/>
          <w:szCs w:val="21"/>
        </w:rPr>
        <w:t>T</w:t>
      </w:r>
      <w:r w:rsidRPr="00862B30">
        <w:rPr>
          <w:rFonts w:eastAsia="Times New Roman"/>
          <w:bCs/>
          <w:i/>
          <w:szCs w:val="21"/>
          <w:vertAlign w:val="subscript"/>
        </w:rPr>
        <w:t>target_PL</w:t>
      </w:r>
      <w:proofErr w:type="spellEnd"/>
      <w:r w:rsidRPr="00862B30">
        <w:rPr>
          <w:rFonts w:eastAsia="Times New Roman"/>
          <w:bCs/>
          <w:i/>
          <w:szCs w:val="21"/>
          <w:vertAlign w:val="subscript"/>
        </w:rPr>
        <w:t xml:space="preserve">-RS </w:t>
      </w:r>
      <w:r w:rsidRPr="00862B30">
        <w:rPr>
          <w:rFonts w:eastAsia="Times New Roman"/>
          <w:bCs/>
          <w:i/>
          <w:szCs w:val="21"/>
        </w:rPr>
        <w:t xml:space="preserve">+ 2ms) </w:t>
      </w:r>
    </w:p>
    <w:p w:rsidR="001A7A63" w:rsidP="00336E46" w:rsidRDefault="001A7A63" w14:paraId="2CD97A4C" w14:textId="77777777"/>
    <w:p w:rsidR="00A505B6" w:rsidP="00B431F3" w:rsidRDefault="000E412C" w14:paraId="2A19D0D0" w14:textId="000369FF">
      <w:r>
        <w:t>A</w:t>
      </w:r>
      <w:r w:rsidR="00336E46">
        <w:t xml:space="preserve"> baseline behavior will be that a UE will choose a </w:t>
      </w:r>
      <w:r>
        <w:t xml:space="preserve">measurement </w:t>
      </w:r>
      <w:r w:rsidR="00336E46">
        <w:t xml:space="preserve">beam based on </w:t>
      </w:r>
      <w:r w:rsidR="003F47F2">
        <w:t xml:space="preserve">source RS in </w:t>
      </w:r>
      <w:r w:rsidRPr="00336E46" w:rsidR="00336E46">
        <w:t>UL</w:t>
      </w:r>
      <w:r w:rsidR="003F47F2">
        <w:t>-</w:t>
      </w:r>
      <w:r w:rsidRPr="00336E46" w:rsidR="00336E46">
        <w:t>TCI</w:t>
      </w:r>
      <w:r w:rsidR="00336E46">
        <w:t xml:space="preserve"> and </w:t>
      </w:r>
      <w:proofErr w:type="gramStart"/>
      <w:r w:rsidR="00336E46">
        <w:t>actually measure</w:t>
      </w:r>
      <w:r w:rsidR="003F47F2">
        <w:t>s</w:t>
      </w:r>
      <w:proofErr w:type="gramEnd"/>
      <w:r w:rsidR="00336E46">
        <w:t xml:space="preserve"> path-loss on </w:t>
      </w:r>
      <w:r w:rsidRPr="00336E46" w:rsidR="00336E46">
        <w:t>target pathloss reference signal</w:t>
      </w:r>
      <w:r w:rsidR="00336E46">
        <w:t xml:space="preserve">. </w:t>
      </w:r>
      <w:r w:rsidR="005627D7">
        <w:t>W</w:t>
      </w:r>
      <w:r w:rsidR="00B431F3">
        <w:t xml:space="preserve">e want to clarify UE behavior </w:t>
      </w:r>
      <w:r w:rsidRPr="004017B6" w:rsidR="00B431F3">
        <w:t xml:space="preserve">when PL-RS and source RS in UL or joint TCI is QCL-Type D AND </w:t>
      </w:r>
      <w:r w:rsidRPr="004017B6" w:rsidR="00B431F3">
        <w:rPr>
          <w:u w:val="single"/>
        </w:rPr>
        <w:t>when the UL target TCI state is unknown but</w:t>
      </w:r>
      <w:r w:rsidRPr="004017B6" w:rsidR="00B431F3">
        <w:rPr>
          <w:rFonts w:hint="eastAsia" w:eastAsiaTheme="minorEastAsia"/>
          <w:u w:val="single"/>
          <w:lang w:eastAsia="ko-KR"/>
        </w:rPr>
        <w:t xml:space="preserve"> </w:t>
      </w:r>
      <w:r w:rsidRPr="004017B6" w:rsidR="00B431F3">
        <w:rPr>
          <w:u w:val="single"/>
        </w:rPr>
        <w:t>when the target pathloss reference signal is known</w:t>
      </w:r>
      <w:r w:rsidRPr="004017B6" w:rsidR="00B431F3">
        <w:t xml:space="preserve">.  In this case, a UE </w:t>
      </w:r>
      <w:r w:rsidR="00A505B6">
        <w:t xml:space="preserve">is assumed to measure L1 on the target PL-RS, a beam state is already known. Therefore, the UE </w:t>
      </w:r>
      <w:r w:rsidRPr="00D03764" w:rsidR="00A505B6">
        <w:t xml:space="preserve">can practically use a beam from target </w:t>
      </w:r>
      <w:r w:rsidR="00A505B6">
        <w:t>PL-RS</w:t>
      </w:r>
      <w:r w:rsidRPr="00D03764" w:rsidR="00A505B6">
        <w:t xml:space="preserve"> and directly measure it.</w:t>
      </w:r>
      <w:r w:rsidR="00A505B6">
        <w:t xml:space="preserve"> We think the known state UL-TCI switching requirement can be applied to this case.  </w:t>
      </w:r>
    </w:p>
    <w:p w:rsidR="00A505B6" w:rsidP="00B431F3" w:rsidRDefault="00A505B6" w14:paraId="72117BC6" w14:textId="3735F69A">
      <w:r>
        <w:t xml:space="preserve">Also, </w:t>
      </w:r>
      <w:r w:rsidR="0078010B">
        <w:t xml:space="preserve">for </w:t>
      </w:r>
      <w:r>
        <w:t xml:space="preserve">the other case </w:t>
      </w:r>
      <w:r w:rsidRPr="004017B6">
        <w:rPr>
          <w:u w:val="single"/>
        </w:rPr>
        <w:t>when the UL target TCI state is known but when the target pathloss reference signal is unknown</w:t>
      </w:r>
      <w:r>
        <w:t xml:space="preserve">, </w:t>
      </w:r>
      <w:r w:rsidR="0078010B">
        <w:t xml:space="preserve">although </w:t>
      </w:r>
      <w:r>
        <w:t>the UE may</w:t>
      </w:r>
      <w:r w:rsidR="0078010B">
        <w:t xml:space="preserve"> not</w:t>
      </w:r>
      <w:r>
        <w:t xml:space="preserve"> have been measured L1 on PL-RS, it </w:t>
      </w:r>
      <w:r w:rsidR="0078010B">
        <w:t>acquires</w:t>
      </w:r>
      <w:r>
        <w:t xml:space="preserve"> beam </w:t>
      </w:r>
      <w:r w:rsidR="0078010B">
        <w:t xml:space="preserve">information </w:t>
      </w:r>
      <w:r>
        <w:t xml:space="preserve">from L1 measurement on the source </w:t>
      </w:r>
      <w:r w:rsidR="005627D7">
        <w:t xml:space="preserve">RS </w:t>
      </w:r>
      <w:r>
        <w:t xml:space="preserve">in UL-TCI. Therefore, </w:t>
      </w:r>
      <w:r w:rsidRPr="00CA1F4E" w:rsidR="00CA1F4E">
        <w:t xml:space="preserve">MAC-CE based UL TCI switching delay requirement of known UL target TCI state </w:t>
      </w:r>
      <w:r w:rsidR="00CA1F4E">
        <w:t xml:space="preserve">can be reused </w:t>
      </w:r>
      <w:r w:rsidRPr="00CA1F4E" w:rsidR="00CA1F4E">
        <w:t>for this case</w:t>
      </w:r>
      <w:r w:rsidR="00CA1F4E">
        <w:t xml:space="preserve"> as well.</w:t>
      </w:r>
    </w:p>
    <w:p w:rsidRPr="004017B6" w:rsidR="00B431F3" w:rsidP="00B431F3" w:rsidRDefault="00A505B6" w14:paraId="372AC3D4" w14:textId="63E09261">
      <w:r>
        <w:lastRenderedPageBreak/>
        <w:t>I</w:t>
      </w:r>
      <w:r w:rsidRPr="00B431F3">
        <w:t xml:space="preserve">f </w:t>
      </w:r>
      <w:r>
        <w:t>RAN4 prepares an LS to RAN1</w:t>
      </w:r>
      <w:r w:rsidR="005627D7">
        <w:t xml:space="preserve"> to clarify the RAN1 FFS agreement</w:t>
      </w:r>
      <w:r>
        <w:t>, this issue can be included for clarification with RAN1.</w:t>
      </w:r>
    </w:p>
    <w:p w:rsidR="00A505B6" w:rsidP="00B431F3" w:rsidRDefault="00B431F3" w14:paraId="47ED2678" w14:textId="725A16A6">
      <w:pPr>
        <w:rPr>
          <w:rFonts w:eastAsiaTheme="minorEastAsia"/>
          <w:u w:val="single"/>
          <w:lang w:eastAsia="ko-KR"/>
        </w:rPr>
      </w:pPr>
      <w:r w:rsidRPr="004017B6">
        <w:rPr>
          <w:b/>
          <w:bCs/>
        </w:rPr>
        <w:t xml:space="preserve">Proposal </w:t>
      </w:r>
      <w:proofErr w:type="gramStart"/>
      <w:r w:rsidRPr="004017B6" w:rsidR="009A264D">
        <w:rPr>
          <w:b/>
          <w:bCs/>
        </w:rPr>
        <w:t xml:space="preserve">5 </w:t>
      </w:r>
      <w:r w:rsidRPr="004017B6">
        <w:rPr>
          <w:b/>
          <w:bCs/>
        </w:rPr>
        <w:t>:</w:t>
      </w:r>
      <w:proofErr w:type="gramEnd"/>
      <w:r>
        <w:t xml:space="preserve"> </w:t>
      </w:r>
      <w:r w:rsidR="005627D7">
        <w:t>R</w:t>
      </w:r>
      <w:r w:rsidRPr="00A505B6" w:rsidR="00CA1F4E">
        <w:t>euse MAC-CE based UL TCI switching delay requirement of known UL target TCI state</w:t>
      </w:r>
      <w:r w:rsidR="00CA1F4E">
        <w:t xml:space="preserve">, </w:t>
      </w:r>
      <w:r>
        <w:t xml:space="preserve"> </w:t>
      </w:r>
      <w:r w:rsidRPr="004B6A5E">
        <w:rPr>
          <w:u w:val="single"/>
        </w:rPr>
        <w:t xml:space="preserve">when PL-RS and source RS in UL or joint TCI is </w:t>
      </w:r>
      <w:proofErr w:type="spellStart"/>
      <w:r w:rsidR="003F47F2">
        <w:rPr>
          <w:u w:val="single"/>
        </w:rPr>
        <w:t>QCLed</w:t>
      </w:r>
      <w:proofErr w:type="spellEnd"/>
      <w:r w:rsidR="003F47F2">
        <w:rPr>
          <w:u w:val="single"/>
        </w:rPr>
        <w:t xml:space="preserve"> by </w:t>
      </w:r>
      <w:r w:rsidRPr="004B6A5E">
        <w:rPr>
          <w:u w:val="single"/>
        </w:rPr>
        <w:t>QCL-Type</w:t>
      </w:r>
      <w:r w:rsidR="003F47F2">
        <w:rPr>
          <w:u w:val="single"/>
        </w:rPr>
        <w:t>-</w:t>
      </w:r>
      <w:r w:rsidRPr="004B6A5E">
        <w:rPr>
          <w:u w:val="single"/>
        </w:rPr>
        <w:t>D</w:t>
      </w:r>
      <w:r w:rsidRPr="004B6A5E">
        <w:t xml:space="preserve">  </w:t>
      </w:r>
      <w:r w:rsidRPr="004017B6">
        <w:rPr>
          <w:b/>
          <w:bCs/>
        </w:rPr>
        <w:t>AND</w:t>
      </w:r>
      <w:r w:rsidRPr="00336E46">
        <w:t xml:space="preserve"> </w:t>
      </w:r>
      <w:r>
        <w:rPr>
          <w:rFonts w:hint="eastAsia" w:eastAsiaTheme="minorEastAsia"/>
          <w:u w:val="single"/>
          <w:lang w:eastAsia="ko-KR"/>
        </w:rPr>
        <w:t xml:space="preserve"> </w:t>
      </w:r>
    </w:p>
    <w:p w:rsidRPr="004017B6" w:rsidR="00B431F3" w:rsidP="004017B6" w:rsidRDefault="00B431F3" w14:paraId="3BEE2B08" w14:textId="71318528">
      <w:pPr>
        <w:pStyle w:val="ListParagraph"/>
        <w:numPr>
          <w:ilvl w:val="0"/>
          <w:numId w:val="42"/>
        </w:numPr>
        <w:rPr>
          <w:u w:val="single"/>
        </w:rPr>
      </w:pPr>
      <w:r w:rsidRPr="004017B6">
        <w:rPr>
          <w:u w:val="single"/>
        </w:rPr>
        <w:t>when the UL target TCI state is unknown but</w:t>
      </w:r>
      <w:r w:rsidRPr="004017B6">
        <w:rPr>
          <w:rFonts w:hint="eastAsia" w:eastAsiaTheme="minorEastAsia"/>
          <w:u w:val="single"/>
          <w:lang w:eastAsia="ko-KR"/>
        </w:rPr>
        <w:t xml:space="preserve"> </w:t>
      </w:r>
      <w:r w:rsidRPr="004017B6">
        <w:rPr>
          <w:u w:val="single"/>
        </w:rPr>
        <w:t>when the target pathloss reference signal is known.</w:t>
      </w:r>
    </w:p>
    <w:p w:rsidRPr="00B431F3" w:rsidR="00A505B6" w:rsidP="004017B6" w:rsidRDefault="00A505B6" w14:paraId="0CD1AC59" w14:textId="57116CDB">
      <w:pPr>
        <w:pStyle w:val="ListParagraph"/>
        <w:numPr>
          <w:ilvl w:val="0"/>
          <w:numId w:val="42"/>
        </w:numPr>
      </w:pPr>
      <w:r w:rsidRPr="004017B6">
        <w:rPr>
          <w:u w:val="single"/>
        </w:rPr>
        <w:t>when the UL target TCI state is known     but</w:t>
      </w:r>
      <w:r w:rsidRPr="004017B6">
        <w:rPr>
          <w:rFonts w:hint="eastAsia" w:eastAsiaTheme="minorEastAsia"/>
          <w:u w:val="single"/>
          <w:lang w:eastAsia="ko-KR"/>
        </w:rPr>
        <w:t xml:space="preserve"> </w:t>
      </w:r>
      <w:r w:rsidRPr="004017B6">
        <w:rPr>
          <w:u w:val="single"/>
        </w:rPr>
        <w:t>when the target pathloss reference signal is unknown.</w:t>
      </w:r>
    </w:p>
    <w:p w:rsidRPr="004017B6" w:rsidR="00A505B6" w:rsidP="004017B6" w:rsidRDefault="00A505B6" w14:paraId="4C1D5CAA" w14:textId="1055C63B">
      <w:pPr>
        <w:pStyle w:val="ListParagraph"/>
        <w:rPr>
          <w:b/>
          <w:bCs/>
          <w:u w:val="single"/>
        </w:rPr>
      </w:pPr>
    </w:p>
    <w:p w:rsidRPr="004017B6" w:rsidR="00A505B6" w:rsidP="004017B6" w:rsidRDefault="00A505B6" w14:paraId="5ACE9334" w14:textId="77777777">
      <w:pPr>
        <w:rPr>
          <w:b/>
          <w:bCs/>
          <w:u w:val="single"/>
        </w:rPr>
      </w:pPr>
    </w:p>
    <w:p w:rsidRPr="00830A59" w:rsidR="004B6A5E" w:rsidP="000E412C" w:rsidRDefault="00830A59" w14:paraId="1B17278A" w14:textId="561EB1EC">
      <w:pPr>
        <w:rPr>
          <w:u w:val="single"/>
        </w:rPr>
      </w:pPr>
      <w:r w:rsidRPr="00830A59">
        <w:rPr>
          <w:b/>
          <w:bCs/>
          <w:u w:val="single"/>
        </w:rPr>
        <w:t>DCI-based PL-RS switching</w:t>
      </w:r>
      <w:r w:rsidR="009A22A3">
        <w:rPr>
          <w:b/>
          <w:bCs/>
          <w:u w:val="single"/>
        </w:rPr>
        <w:t xml:space="preserve"> delay requirement</w:t>
      </w:r>
    </w:p>
    <w:p w:rsidR="009A22A3" w:rsidP="000E412C" w:rsidRDefault="00830A59" w14:paraId="23C39257" w14:textId="051FA12C">
      <w:r>
        <w:t>Next</w:t>
      </w:r>
      <w:r w:rsidRPr="009A22A3">
        <w:t>, DCI-based PL-RS switching is also possible.</w:t>
      </w:r>
      <w:r>
        <w:t xml:space="preserve"> It is agreed that r</w:t>
      </w:r>
      <w:r w:rsidRPr="00830A59">
        <w:t xml:space="preserve">equirements for </w:t>
      </w:r>
      <w:r>
        <w:t xml:space="preserve">DCI-based UL </w:t>
      </w:r>
      <w:r w:rsidRPr="00830A59">
        <w:t>TCI switching requirements is applied for DCI based PL-RS switching</w:t>
      </w:r>
      <w:r>
        <w:t>.</w:t>
      </w:r>
      <w:r w:rsidR="009A22A3">
        <w:t xml:space="preserve">  Then, known/unknown TCI state/PL-RS remain controversial. We propose to apply </w:t>
      </w:r>
      <w:r w:rsidRPr="00830A59" w:rsidR="009A22A3">
        <w:t>DCI based PL-RS switching</w:t>
      </w:r>
      <w:r w:rsidR="009A22A3">
        <w:t xml:space="preserve"> under known conditions of UL-TCI state and target PL-RS.</w:t>
      </w:r>
    </w:p>
    <w:p w:rsidR="009A22A3" w:rsidP="009A22A3" w:rsidRDefault="009A22A3" w14:paraId="2A225977" w14:textId="3F5BCEA7">
      <w:r w:rsidRPr="004017B6">
        <w:rPr>
          <w:b/>
          <w:bCs/>
        </w:rPr>
        <w:t xml:space="preserve">Proposal </w:t>
      </w:r>
      <w:proofErr w:type="gramStart"/>
      <w:r w:rsidRPr="004017B6" w:rsidR="009A264D">
        <w:rPr>
          <w:b/>
          <w:bCs/>
        </w:rPr>
        <w:t xml:space="preserve">6 </w:t>
      </w:r>
      <w:r w:rsidRPr="004017B6">
        <w:rPr>
          <w:b/>
          <w:bCs/>
        </w:rPr>
        <w:t>:</w:t>
      </w:r>
      <w:proofErr w:type="gramEnd"/>
      <w:r>
        <w:t xml:space="preserve"> Apply DCI-based UL TCI switching delay r</w:t>
      </w:r>
      <w:r w:rsidRPr="00830A59">
        <w:t xml:space="preserve">equirement for </w:t>
      </w:r>
      <w:r>
        <w:t>DCI-based PL-RS</w:t>
      </w:r>
      <w:r w:rsidRPr="00830A59">
        <w:t xml:space="preserve"> switching </w:t>
      </w:r>
      <w:r>
        <w:t xml:space="preserve">delay </w:t>
      </w:r>
      <w:r w:rsidRPr="00830A59">
        <w:t>requirements</w:t>
      </w:r>
      <w:r>
        <w:t xml:space="preserve">, when the target pathloss reference signal is known AND when the target UL TCI </w:t>
      </w:r>
      <w:r w:rsidR="00B431F3">
        <w:t>state</w:t>
      </w:r>
      <w:r>
        <w:t xml:space="preserve"> is known.</w:t>
      </w:r>
    </w:p>
    <w:p w:rsidRPr="00860574" w:rsidR="00860574" w:rsidP="00860574" w:rsidRDefault="00D427CF" w14:paraId="1F4C44F8" w14:textId="4013BFB9">
      <w:r>
        <w:t xml:space="preserve">Further </w:t>
      </w:r>
      <w:r w:rsidRPr="00860574" w:rsidR="00860574">
        <w:t xml:space="preserve">DCI-based </w:t>
      </w:r>
      <w:r w:rsidR="00860574">
        <w:t>UL TCI</w:t>
      </w:r>
      <w:r w:rsidRPr="00860574" w:rsidR="00860574">
        <w:t xml:space="preserve"> switching delay requirement</w:t>
      </w:r>
      <w:r w:rsidR="00860574">
        <w:t xml:space="preserve"> is discussed</w:t>
      </w:r>
      <w:r>
        <w:t xml:space="preserve"> in the next section.</w:t>
      </w:r>
    </w:p>
    <w:p w:rsidRPr="00862B30" w:rsidR="00336E46" w:rsidP="007C3893" w:rsidRDefault="000E412C" w14:paraId="09A02932" w14:textId="09D7CA70">
      <w:r>
        <w:rPr>
          <w:u w:val="single"/>
        </w:rPr>
        <w:br/>
      </w:r>
    </w:p>
    <w:p w:rsidRPr="00862B30" w:rsidR="005278B1" w:rsidP="008F7DD8" w:rsidRDefault="005278B1" w14:paraId="04B83766" w14:textId="082E7281"/>
    <w:p w:rsidRPr="007C3893" w:rsidR="007C3893" w:rsidP="007C3893" w:rsidRDefault="007C3893" w14:paraId="63261910" w14:textId="7FCAD553">
      <w:pPr>
        <w:pStyle w:val="RAN4H2"/>
        <w:numPr>
          <w:ilvl w:val="0"/>
          <w:numId w:val="0"/>
        </w:numPr>
        <w:ind w:left="360"/>
        <w:rPr>
          <w:sz w:val="28"/>
          <w:szCs w:val="28"/>
        </w:rPr>
      </w:pPr>
      <w:r>
        <w:rPr>
          <w:sz w:val="28"/>
          <w:szCs w:val="28"/>
        </w:rPr>
        <w:t xml:space="preserve">2.2   </w:t>
      </w:r>
      <w:r w:rsidRPr="007C3893">
        <w:rPr>
          <w:sz w:val="28"/>
          <w:szCs w:val="28"/>
        </w:rPr>
        <w:t xml:space="preserve">Remaining issues on </w:t>
      </w:r>
      <w:r>
        <w:rPr>
          <w:sz w:val="28"/>
          <w:szCs w:val="28"/>
        </w:rPr>
        <w:t>DCI-based DL/UL TCI switching delay</w:t>
      </w:r>
    </w:p>
    <w:p w:rsidRPr="00862B30" w:rsidR="00113B42" w:rsidP="003E6400" w:rsidRDefault="00113B42" w14:paraId="44777ACB" w14:textId="77777777">
      <w:pPr>
        <w:ind w:right="-22"/>
        <w:rPr>
          <w:rFonts w:eastAsia="Calibri" w:cs="Times New Roman"/>
          <w:szCs w:val="20"/>
        </w:rPr>
      </w:pPr>
    </w:p>
    <w:p w:rsidR="003D1C7A" w:rsidP="2B7319A9" w:rsidRDefault="007C3893" w14:paraId="1E1843F5" w14:textId="1BBE2B52">
      <w:pPr>
        <w:ind w:right="-22"/>
        <w:rPr>
          <w:rFonts w:eastAsia="Calibri" w:cs="Times New Roman"/>
          <w:b/>
          <w:bCs/>
          <w:u w:val="single"/>
        </w:rPr>
      </w:pPr>
      <w:r>
        <w:rPr>
          <w:rFonts w:eastAsia="Calibri" w:cs="Times New Roman"/>
          <w:b/>
          <w:bCs/>
          <w:u w:val="single"/>
        </w:rPr>
        <w:t>DL/UL TCI switching delay based on b</w:t>
      </w:r>
      <w:r w:rsidRPr="007C3893" w:rsidR="00ED237E">
        <w:rPr>
          <w:rFonts w:eastAsia="Calibri" w:cs="Times New Roman"/>
          <w:b/>
          <w:bCs/>
          <w:u w:val="single"/>
        </w:rPr>
        <w:t>eam application time (BAT)</w:t>
      </w:r>
      <w:r w:rsidRPr="007C3893" w:rsidR="1A6932EC">
        <w:rPr>
          <w:rFonts w:eastAsia="Calibri" w:cs="Times New Roman"/>
          <w:b/>
          <w:bCs/>
          <w:u w:val="single"/>
        </w:rPr>
        <w:t xml:space="preserve"> </w:t>
      </w:r>
    </w:p>
    <w:p w:rsidRPr="00AC56E5" w:rsidR="007C3893" w:rsidP="2B7319A9" w:rsidRDefault="00AC56E5" w14:paraId="3EFBE64A" w14:textId="14B8FF9E">
      <w:pPr>
        <w:ind w:right="-22"/>
        <w:rPr>
          <w:rFonts w:eastAsia="Calibri" w:cs="Times New Roman"/>
        </w:rPr>
      </w:pPr>
      <w:r>
        <w:rPr>
          <w:rFonts w:eastAsia="Calibri" w:cs="Times New Roman"/>
        </w:rPr>
        <w:t>Since Rel-17 unified TCI framework provides TCI switching for beam management purpose as well as DL receptions with or without PDSCH, the DL/UL switching delay is calculated differently comparing to Rel-16 requirement. Of course, it is a same UE no matter to Rel-16 and Rel-17, physically beam switching period will be same in a UE implementation. However, the starting point and the ending point of beam switching are newly defined by RAN1. Accordingly, RAN4 requirement should be updated in Rel-17.</w:t>
      </w:r>
    </w:p>
    <w:tbl>
      <w:tblPr>
        <w:tblStyle w:val="TableGrid"/>
        <w:tblW w:w="0" w:type="auto"/>
        <w:tblLook w:val="04A0" w:firstRow="1" w:lastRow="0" w:firstColumn="1" w:lastColumn="0" w:noHBand="0" w:noVBand="1"/>
      </w:tblPr>
      <w:tblGrid>
        <w:gridCol w:w="9062"/>
      </w:tblGrid>
      <w:tr w:rsidRPr="00862B30" w:rsidR="005278B1" w:rsidTr="005278B1" w14:paraId="2B499F14" w14:textId="77777777">
        <w:tc>
          <w:tcPr>
            <w:tcW w:w="9062" w:type="dxa"/>
          </w:tcPr>
          <w:p w:rsidRPr="00862B30" w:rsidR="007C3893" w:rsidP="007C3893" w:rsidRDefault="007C3893" w14:paraId="323501AA" w14:textId="77777777">
            <w:pPr>
              <w:rPr>
                <w:rFonts w:ascii="Times" w:hAnsi="Times" w:eastAsia="Times New Roman" w:cs="Times"/>
                <w:b/>
                <w:bCs/>
                <w:szCs w:val="20"/>
                <w:highlight w:val="green"/>
                <w:lang w:eastAsia="ko-KR"/>
              </w:rPr>
            </w:pPr>
            <w:r w:rsidRPr="00862B30">
              <w:rPr>
                <w:rFonts w:ascii="Times" w:hAnsi="Times" w:eastAsia="Times New Roman" w:cs="Times"/>
                <w:b/>
                <w:bCs/>
                <w:szCs w:val="20"/>
                <w:highlight w:val="green"/>
                <w:lang w:eastAsia="ko-KR"/>
              </w:rPr>
              <w:t>RAN4 WF R4-2120320</w:t>
            </w:r>
          </w:p>
          <w:p w:rsidR="007C3893" w:rsidP="007C3893" w:rsidRDefault="007C3893" w14:paraId="14595D9F" w14:textId="77777777">
            <w:pPr>
              <w:spacing w:after="120"/>
            </w:pPr>
          </w:p>
          <w:p w:rsidRPr="00862B30" w:rsidR="007C3893" w:rsidP="007C3893" w:rsidRDefault="007C3893" w14:paraId="7A01CF2B" w14:textId="426413D3">
            <w:pPr>
              <w:pStyle w:val="ListParagraph"/>
              <w:numPr>
                <w:ilvl w:val="0"/>
                <w:numId w:val="16"/>
              </w:numPr>
              <w:spacing w:after="120"/>
              <w:contextualSpacing w:val="0"/>
            </w:pPr>
            <w:r w:rsidRPr="00862B30">
              <w:t>RAN4 is to specified DCI based DL/UL TCI state switch delay for unified TCI based on RAN1 agreements on beam application time (BAT</w:t>
            </w:r>
            <w:proofErr w:type="gramStart"/>
            <w:r w:rsidRPr="00862B30">
              <w:t>) .</w:t>
            </w:r>
            <w:proofErr w:type="gramEnd"/>
            <w:r w:rsidRPr="00862B30">
              <w:t xml:space="preserve"> FFS on detailed wording to be included in specification.</w:t>
            </w:r>
          </w:p>
          <w:p w:rsidRPr="00862B30" w:rsidR="005278B1" w:rsidP="003E6400" w:rsidRDefault="005278B1" w14:paraId="2BFD30E6" w14:textId="77777777">
            <w:pPr>
              <w:ind w:right="-22"/>
              <w:rPr>
                <w:rFonts w:eastAsia="Calibri" w:cs="Times New Roman"/>
                <w:szCs w:val="20"/>
              </w:rPr>
            </w:pPr>
          </w:p>
        </w:tc>
      </w:tr>
    </w:tbl>
    <w:p w:rsidRPr="00862B30" w:rsidR="007D0ADE" w:rsidP="00ED237E" w:rsidRDefault="007D0ADE" w14:paraId="666E9EBE" w14:textId="77777777">
      <w:pPr>
        <w:ind w:right="-22"/>
        <w:rPr>
          <w:rFonts w:eastAsia="Calibri" w:cs="Times New Roman"/>
          <w:szCs w:val="20"/>
        </w:rPr>
      </w:pPr>
    </w:p>
    <w:p w:rsidRPr="00862B30" w:rsidR="0007437E" w:rsidP="2B7319A9" w:rsidRDefault="00AC56E5" w14:paraId="40D438E3" w14:textId="333EB928">
      <w:pPr>
        <w:ind w:right="-22"/>
        <w:rPr>
          <w:rFonts w:eastAsia="Calibri" w:cs="Times New Roman"/>
        </w:rPr>
      </w:pPr>
      <w:r>
        <w:rPr>
          <w:rFonts w:eastAsia="Calibri" w:cs="Times New Roman"/>
        </w:rPr>
        <w:t xml:space="preserve">We see related RAN1 agreements </w:t>
      </w:r>
      <w:proofErr w:type="gramStart"/>
      <w:r>
        <w:rPr>
          <w:rFonts w:eastAsia="Calibri" w:cs="Times New Roman"/>
        </w:rPr>
        <w:t>below :</w:t>
      </w:r>
      <w:proofErr w:type="gramEnd"/>
    </w:p>
    <w:tbl>
      <w:tblPr>
        <w:tblStyle w:val="TableGrid"/>
        <w:tblW w:w="0" w:type="auto"/>
        <w:tblLook w:val="04A0" w:firstRow="1" w:lastRow="0" w:firstColumn="1" w:lastColumn="0" w:noHBand="0" w:noVBand="1"/>
      </w:tblPr>
      <w:tblGrid>
        <w:gridCol w:w="9062"/>
      </w:tblGrid>
      <w:tr w:rsidRPr="00862B30" w:rsidR="0007437E" w:rsidTr="0007437E" w14:paraId="0F47C77A" w14:textId="77777777">
        <w:tc>
          <w:tcPr>
            <w:tcW w:w="9062" w:type="dxa"/>
          </w:tcPr>
          <w:p w:rsidRPr="00862B30" w:rsidR="0007437E" w:rsidP="0007437E" w:rsidRDefault="0007437E" w14:paraId="1115BDC1" w14:textId="77777777">
            <w:pPr>
              <w:snapToGrid w:val="0"/>
              <w:rPr>
                <w:rFonts w:eastAsia="굴림" w:cs="Times"/>
                <w:szCs w:val="24"/>
                <w:lang w:eastAsia="ko-KR"/>
              </w:rPr>
            </w:pPr>
            <w:r w:rsidRPr="00862B30">
              <w:rPr>
                <w:rFonts w:cs="Times"/>
                <w:b/>
                <w:bCs/>
                <w:szCs w:val="24"/>
                <w:highlight w:val="green"/>
              </w:rPr>
              <w:t>Agreement in RAN1 #106e</w:t>
            </w:r>
          </w:p>
          <w:p w:rsidRPr="00862B30" w:rsidR="0007437E" w:rsidP="0007437E" w:rsidRDefault="0007437E" w14:paraId="0A1D5A20" w14:textId="77777777">
            <w:pPr>
              <w:snapToGrid w:val="0"/>
              <w:rPr>
                <w:rFonts w:eastAsia="Times New Roman" w:cs="Times"/>
                <w:szCs w:val="24"/>
              </w:rPr>
            </w:pPr>
            <w:r w:rsidRPr="00862B30">
              <w:rPr>
                <w:rFonts w:eastAsia="Times New Roman" w:cs="Times"/>
                <w:szCs w:val="24"/>
              </w:rPr>
              <w:t>On Rel-17 DCI-based beam indication, regarding application time of the beam indication, the first slot to apply the indicated TCI is at least Y symbols after the last symbol of the acknowledgment of the joint or separate DL/UL beam indication.</w:t>
            </w:r>
          </w:p>
          <w:p w:rsidRPr="00862B30" w:rsidR="0007437E" w:rsidP="0007437E" w:rsidRDefault="0007437E" w14:paraId="23173C44" w14:textId="77777777">
            <w:pPr>
              <w:numPr>
                <w:ilvl w:val="0"/>
                <w:numId w:val="25"/>
              </w:numPr>
              <w:snapToGrid w:val="0"/>
              <w:rPr>
                <w:rFonts w:eastAsia="Times New Roman" w:cs="Times"/>
                <w:szCs w:val="24"/>
              </w:rPr>
            </w:pPr>
            <w:r w:rsidRPr="00862B30">
              <w:rPr>
                <w:rFonts w:eastAsia="Times New Roman" w:cs="Times"/>
                <w:szCs w:val="24"/>
              </w:rPr>
              <w:t xml:space="preserve">Note: The Y symbols are configured by the </w:t>
            </w:r>
            <w:proofErr w:type="spellStart"/>
            <w:r w:rsidRPr="00862B30">
              <w:rPr>
                <w:rFonts w:eastAsia="Times New Roman" w:cs="Times"/>
                <w:szCs w:val="24"/>
              </w:rPr>
              <w:t>gNB</w:t>
            </w:r>
            <w:proofErr w:type="spellEnd"/>
            <w:r w:rsidRPr="00862B30">
              <w:rPr>
                <w:rFonts w:eastAsia="Times New Roman" w:cs="Times"/>
                <w:szCs w:val="24"/>
              </w:rPr>
              <w:t xml:space="preserve"> based on UE capability, which is also reported in units of symbols.</w:t>
            </w:r>
          </w:p>
          <w:p w:rsidRPr="00862B30" w:rsidR="0007437E" w:rsidP="0007437E" w:rsidRDefault="0007437E" w14:paraId="4D6FD0D9" w14:textId="77777777">
            <w:pPr>
              <w:numPr>
                <w:ilvl w:val="0"/>
                <w:numId w:val="25"/>
              </w:numPr>
              <w:snapToGrid w:val="0"/>
              <w:rPr>
                <w:rFonts w:eastAsia="Times New Roman" w:cs="Times"/>
                <w:strike/>
                <w:szCs w:val="24"/>
              </w:rPr>
            </w:pPr>
            <w:r w:rsidRPr="00862B30">
              <w:rPr>
                <w:rFonts w:eastAsia="Times New Roman" w:cs="Times"/>
                <w:szCs w:val="24"/>
              </w:rPr>
              <w:t xml:space="preserve">FFS whether Y is configured per </w:t>
            </w:r>
            <w:proofErr w:type="gramStart"/>
            <w:r w:rsidRPr="00862B30">
              <w:rPr>
                <w:rFonts w:eastAsia="Times New Roman" w:cs="Times"/>
                <w:szCs w:val="24"/>
              </w:rPr>
              <w:t>BWP ,</w:t>
            </w:r>
            <w:proofErr w:type="gramEnd"/>
            <w:r w:rsidRPr="00862B30">
              <w:rPr>
                <w:rFonts w:eastAsia="Times New Roman" w:cs="Times"/>
                <w:szCs w:val="24"/>
              </w:rPr>
              <w:t xml:space="preserve"> per CC or per band or per SCS , or independent of BWP/CC/SCS</w:t>
            </w:r>
          </w:p>
          <w:p w:rsidR="0007437E" w:rsidP="0007437E" w:rsidRDefault="0007437E" w14:paraId="55ABEDFF" w14:textId="776D6EDD">
            <w:pPr>
              <w:ind w:right="-22"/>
              <w:rPr>
                <w:rFonts w:eastAsia="Times New Roman" w:cs="Times"/>
                <w:szCs w:val="24"/>
              </w:rPr>
            </w:pPr>
            <w:r w:rsidRPr="00862B30">
              <w:rPr>
                <w:rFonts w:eastAsia="Times New Roman" w:cs="Times"/>
                <w:szCs w:val="24"/>
              </w:rPr>
              <w:t>Note: Previous agreement in RAN1#104b-e that remaining unused DCI fields and codepoints are reserved in R17 are not to be reverted</w:t>
            </w:r>
          </w:p>
          <w:p w:rsidRPr="00862B30" w:rsidR="007C3893" w:rsidP="0007437E" w:rsidRDefault="007C3893" w14:paraId="3C43062D" w14:textId="77777777">
            <w:pPr>
              <w:ind w:right="-22"/>
              <w:rPr>
                <w:rFonts w:eastAsia="Times New Roman" w:cs="Times"/>
                <w:szCs w:val="24"/>
              </w:rPr>
            </w:pPr>
          </w:p>
          <w:p w:rsidRPr="00862B30" w:rsidR="0007437E" w:rsidP="0007437E" w:rsidRDefault="0007437E" w14:paraId="3FD62F52" w14:textId="77777777">
            <w:pPr>
              <w:snapToGrid w:val="0"/>
              <w:rPr>
                <w:highlight w:val="green"/>
                <w:lang w:eastAsia="zh-TW"/>
              </w:rPr>
            </w:pPr>
            <w:r w:rsidRPr="00862B30">
              <w:rPr>
                <w:b/>
                <w:highlight w:val="green"/>
              </w:rPr>
              <w:t>Agreement in RAN1 #106bis</w:t>
            </w:r>
          </w:p>
          <w:p w:rsidRPr="00862B30" w:rsidR="0007437E" w:rsidP="0007437E" w:rsidRDefault="0007437E" w14:paraId="16E234E8" w14:textId="77777777">
            <w:pPr>
              <w:snapToGrid w:val="0"/>
            </w:pPr>
            <w:r w:rsidRPr="00862B30">
              <w:rPr>
                <w:lang w:eastAsia="zh-TW"/>
              </w:rPr>
              <w:t xml:space="preserve">On Rel-17 DCI-based beam indication, regarding </w:t>
            </w:r>
            <w:r w:rsidRPr="007C3893">
              <w:rPr>
                <w:highlight w:val="yellow"/>
                <w:lang w:eastAsia="zh-TW"/>
              </w:rPr>
              <w:t>application time of the beam indication for CA</w:t>
            </w:r>
            <w:r w:rsidRPr="00862B30">
              <w:rPr>
                <w:lang w:eastAsia="zh-TW"/>
              </w:rPr>
              <w:t xml:space="preserve">, </w:t>
            </w:r>
            <w:r w:rsidRPr="00862B30">
              <w:rPr>
                <w:rFonts w:eastAsia="Times New Roman"/>
                <w:lang w:eastAsia="zh-TW"/>
              </w:rPr>
              <w:t xml:space="preserve">the first slot and </w:t>
            </w:r>
            <w:r w:rsidRPr="007C3893">
              <w:rPr>
                <w:rFonts w:eastAsia="Times New Roman"/>
                <w:highlight w:val="yellow"/>
                <w:lang w:eastAsia="zh-TW"/>
              </w:rPr>
              <w:t>the Y symbols are both determined on the carrier with the smallest SCS among the carrier(s)</w:t>
            </w:r>
            <w:r w:rsidRPr="00862B30">
              <w:rPr>
                <w:rFonts w:eastAsia="Times New Roman"/>
                <w:lang w:eastAsia="zh-TW"/>
              </w:rPr>
              <w:t xml:space="preserve"> applying the beam indication.</w:t>
            </w:r>
            <w:r w:rsidRPr="00862B30">
              <w:t xml:space="preserve"> </w:t>
            </w:r>
          </w:p>
          <w:p w:rsidRPr="00862B30" w:rsidR="0007437E" w:rsidP="0007437E" w:rsidRDefault="0007437E" w14:paraId="7F147322" w14:textId="77777777">
            <w:pPr>
              <w:pStyle w:val="ListParagraph"/>
              <w:numPr>
                <w:ilvl w:val="0"/>
                <w:numId w:val="26"/>
              </w:numPr>
              <w:snapToGrid w:val="0"/>
              <w:contextualSpacing w:val="0"/>
            </w:pPr>
            <w:r w:rsidRPr="00862B30">
              <w:t>For Rel-17 MAC-CE based beam indication (when only a single TCI codepoint is activated) and activation, it follows the Rel-16 application timeline of MAC-CE activation</w:t>
            </w:r>
          </w:p>
          <w:p w:rsidRPr="00862B30" w:rsidR="0007437E" w:rsidP="0007437E" w:rsidRDefault="0007437E" w14:paraId="4E91CACC" w14:textId="77777777">
            <w:pPr>
              <w:pStyle w:val="ListParagraph"/>
              <w:numPr>
                <w:ilvl w:val="1"/>
                <w:numId w:val="26"/>
              </w:numPr>
              <w:snapToGrid w:val="0"/>
              <w:contextualSpacing w:val="0"/>
            </w:pPr>
            <w:r w:rsidRPr="00862B30">
              <w:t>How to capture this in the specifications is up to the editors</w:t>
            </w:r>
          </w:p>
          <w:p w:rsidRPr="00862B30" w:rsidR="0007437E" w:rsidP="0007437E" w:rsidRDefault="0007437E" w14:paraId="4A1DE03B" w14:textId="77777777">
            <w:r w:rsidRPr="00862B30">
              <w:rPr>
                <w:b/>
                <w:bCs/>
              </w:rPr>
              <w:t>Conclusion</w:t>
            </w:r>
          </w:p>
          <w:p w:rsidRPr="00862B30" w:rsidR="0007437E" w:rsidP="0007437E" w:rsidRDefault="0007437E" w14:paraId="4D033652" w14:textId="16640AF2">
            <w:pPr>
              <w:ind w:right="-22"/>
              <w:rPr>
                <w:rFonts w:eastAsia="Calibri" w:cs="Times New Roman"/>
                <w:b/>
                <w:bCs/>
                <w:szCs w:val="20"/>
              </w:rPr>
            </w:pPr>
            <w:r w:rsidRPr="00862B30">
              <w:t xml:space="preserve">Discussion on advanced beam refinement/tracking (“issue 6”) is suspended for the remaining of Rel-17 </w:t>
            </w:r>
            <w:proofErr w:type="spellStart"/>
            <w:r w:rsidRPr="00862B30">
              <w:t>NR_FeMIMO</w:t>
            </w:r>
            <w:proofErr w:type="spellEnd"/>
            <w:r w:rsidRPr="00862B30">
              <w:t xml:space="preserve"> multi-beam enhancement (due to lack of time).</w:t>
            </w:r>
          </w:p>
        </w:tc>
      </w:tr>
    </w:tbl>
    <w:p w:rsidRPr="00862B30" w:rsidR="0007437E" w:rsidP="0007437E" w:rsidRDefault="0007437E" w14:paraId="35941796" w14:textId="77777777">
      <w:pPr>
        <w:ind w:right="-22"/>
        <w:rPr>
          <w:rFonts w:eastAsia="Calibri" w:cs="Times New Roman"/>
          <w:szCs w:val="20"/>
        </w:rPr>
      </w:pPr>
    </w:p>
    <w:p w:rsidRPr="00862B30" w:rsidR="0007437E" w:rsidP="0007437E" w:rsidRDefault="0007437E" w14:paraId="5C73E1C9" w14:textId="5862737A">
      <w:pPr>
        <w:ind w:right="-22"/>
        <w:rPr>
          <w:rFonts w:eastAsia="Calibri" w:cs="Times New Roman"/>
          <w:szCs w:val="20"/>
        </w:rPr>
      </w:pPr>
      <w:r w:rsidRPr="00862B30">
        <w:rPr>
          <w:rFonts w:eastAsia="Calibri" w:cs="Times New Roman"/>
          <w:szCs w:val="20"/>
        </w:rPr>
        <w:t xml:space="preserve">RAN1 has worked on introducing unified beam </w:t>
      </w:r>
      <w:r w:rsidR="00113B42">
        <w:rPr>
          <w:rFonts w:eastAsia="Calibri" w:cs="Times New Roman"/>
          <w:szCs w:val="20"/>
        </w:rPr>
        <w:t>indication techniques</w:t>
      </w:r>
      <w:r w:rsidR="00AC56E5">
        <w:rPr>
          <w:rFonts w:eastAsia="Calibri" w:cs="Times New Roman"/>
          <w:szCs w:val="20"/>
        </w:rPr>
        <w:t xml:space="preserve"> under Rel-17 unified TCI framework</w:t>
      </w:r>
      <w:r w:rsidR="00113B42">
        <w:rPr>
          <w:rFonts w:eastAsia="Calibri" w:cs="Times New Roman"/>
          <w:szCs w:val="20"/>
        </w:rPr>
        <w:t>, and t</w:t>
      </w:r>
      <w:r w:rsidRPr="00862B30" w:rsidR="007D0ADE">
        <w:rPr>
          <w:rFonts w:eastAsia="Calibri" w:cs="Times New Roman"/>
          <w:szCs w:val="20"/>
        </w:rPr>
        <w:t xml:space="preserve">he </w:t>
      </w:r>
      <w:r w:rsidR="00113B42">
        <w:rPr>
          <w:rFonts w:eastAsia="Calibri" w:cs="Times New Roman"/>
          <w:szCs w:val="20"/>
        </w:rPr>
        <w:t>i</w:t>
      </w:r>
      <w:r w:rsidRPr="00862B30">
        <w:rPr>
          <w:rFonts w:eastAsia="Calibri" w:cs="Times New Roman"/>
          <w:szCs w:val="20"/>
        </w:rPr>
        <w:t>ndicated TCI state can be joint DL/UL or separate DL and UL TCI state.</w:t>
      </w:r>
      <w:r w:rsidR="00113B42">
        <w:rPr>
          <w:rFonts w:eastAsia="Calibri" w:cs="Times New Roman"/>
          <w:szCs w:val="20"/>
        </w:rPr>
        <w:t xml:space="preserve"> </w:t>
      </w:r>
      <w:r w:rsidRPr="00862B30">
        <w:rPr>
          <w:rFonts w:eastAsia="Calibri" w:cs="Times New Roman"/>
          <w:szCs w:val="20"/>
        </w:rPr>
        <w:t xml:space="preserve">RAN1 mentioned agreements that </w:t>
      </w:r>
      <w:r w:rsidRPr="00862B30">
        <w:rPr>
          <w:rFonts w:cs="Times New Roman" w:eastAsiaTheme="minorEastAsia"/>
          <w:szCs w:val="20"/>
          <w:lang w:eastAsia="ko-KR"/>
        </w:rPr>
        <w:t>‘</w:t>
      </w:r>
      <w:r w:rsidRPr="00862B30">
        <w:rPr>
          <w:rFonts w:eastAsia="Calibri" w:cs="Times New Roman"/>
          <w:szCs w:val="20"/>
        </w:rPr>
        <w:t xml:space="preserve">Y symbol’ is configured per BWP, per CC or per band or per SCS, or independent of BWP/CC/SCS, so it also seems to assume TCI switching plus BWP, CC, band or SCS, that requires additional delay by configured by RRC BAT information. </w:t>
      </w:r>
    </w:p>
    <w:p w:rsidRPr="00862B30" w:rsidR="00340563" w:rsidP="003E6400" w:rsidRDefault="00340563" w14:paraId="20D4C9B4" w14:textId="393E0313">
      <w:pPr>
        <w:ind w:right="-22"/>
        <w:rPr>
          <w:rFonts w:eastAsia="Calibri" w:cs="Times New Roman"/>
          <w:szCs w:val="20"/>
        </w:rPr>
      </w:pPr>
    </w:p>
    <w:p w:rsidRPr="00862B30" w:rsidR="00340563" w:rsidP="00340563" w:rsidRDefault="00340563" w14:paraId="1B08AFF8" w14:textId="3AD45F90">
      <w:pPr>
        <w:ind w:right="-22"/>
        <w:jc w:val="center"/>
        <w:rPr>
          <w:rFonts w:eastAsia="Calibri" w:cs="Times New Roman"/>
          <w:szCs w:val="20"/>
        </w:rPr>
      </w:pPr>
      <w:r w:rsidRPr="00862B30">
        <w:rPr>
          <w:noProof/>
        </w:rPr>
        <w:drawing>
          <wp:inline distT="0" distB="0" distL="0" distR="0" wp14:anchorId="0062FD5E" wp14:editId="52A53810">
            <wp:extent cx="4368800" cy="19491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4867" cy="1956325"/>
                    </a:xfrm>
                    <a:prstGeom prst="rect">
                      <a:avLst/>
                    </a:prstGeom>
                  </pic:spPr>
                </pic:pic>
              </a:graphicData>
            </a:graphic>
          </wp:inline>
        </w:drawing>
      </w:r>
    </w:p>
    <w:p w:rsidRPr="00862B30" w:rsidR="00340563" w:rsidP="00340563" w:rsidRDefault="00340563" w14:paraId="18CFEEAB" w14:textId="2FB3F750">
      <w:pPr>
        <w:ind w:right="-22"/>
        <w:jc w:val="center"/>
        <w:rPr>
          <w:rFonts w:eastAsia="Calibri" w:cs="Times New Roman"/>
          <w:i/>
          <w:iCs/>
          <w:szCs w:val="20"/>
        </w:rPr>
      </w:pPr>
      <w:r w:rsidRPr="00862B30">
        <w:rPr>
          <w:rFonts w:eastAsia="Calibri" w:cs="Times New Roman"/>
          <w:szCs w:val="20"/>
        </w:rPr>
        <w:t xml:space="preserve">Figure 1. Indicated TCI switching delay </w:t>
      </w:r>
    </w:p>
    <w:p w:rsidRPr="00862B30" w:rsidR="00340563" w:rsidP="003E6400" w:rsidRDefault="00340563" w14:paraId="0C669A72" w14:textId="1707F42C">
      <w:pPr>
        <w:ind w:right="-22"/>
        <w:rPr>
          <w:rFonts w:eastAsia="Calibri" w:cs="Times New Roman"/>
          <w:szCs w:val="20"/>
        </w:rPr>
      </w:pPr>
      <w:r w:rsidRPr="00862B30">
        <w:rPr>
          <w:rFonts w:eastAsia="Calibri" w:cs="Times New Roman"/>
          <w:szCs w:val="20"/>
        </w:rPr>
        <w:t>We refer to the RAN1 TS38.214 updates below for the TCI switching.</w:t>
      </w:r>
    </w:p>
    <w:tbl>
      <w:tblPr>
        <w:tblStyle w:val="TableGrid"/>
        <w:tblW w:w="0" w:type="auto"/>
        <w:tblLook w:val="04A0" w:firstRow="1" w:lastRow="0" w:firstColumn="1" w:lastColumn="0" w:noHBand="0" w:noVBand="1"/>
      </w:tblPr>
      <w:tblGrid>
        <w:gridCol w:w="9062"/>
      </w:tblGrid>
      <w:tr w:rsidRPr="00862B30" w:rsidR="00340563" w:rsidTr="00340563" w14:paraId="4471CC00" w14:textId="77777777">
        <w:tc>
          <w:tcPr>
            <w:tcW w:w="9062" w:type="dxa"/>
          </w:tcPr>
          <w:p w:rsidRPr="00862B30" w:rsidR="00340563" w:rsidP="00ED6D73" w:rsidRDefault="00340563" w14:paraId="075F7287" w14:textId="18318E71">
            <w:pPr>
              <w:rPr>
                <w:color w:val="000000"/>
              </w:rPr>
            </w:pPr>
            <w:r w:rsidRPr="00862B30">
              <w:rPr>
                <w:b/>
                <w:bCs/>
              </w:rPr>
              <w:t xml:space="preserve">Rel-17 38.214 section 5.1.5 </w:t>
            </w:r>
          </w:p>
          <w:p w:rsidRPr="00862B30" w:rsidR="00340563" w:rsidP="00340563" w:rsidRDefault="00340563" w14:paraId="64A4B909" w14:textId="77777777">
            <w:pPr>
              <w:ind w:left="851" w:hanging="284"/>
              <w:rPr>
                <w:rFonts w:eastAsia="바탕"/>
              </w:rPr>
            </w:pPr>
          </w:p>
          <w:p w:rsidRPr="00862B30" w:rsidR="00340563" w:rsidP="00340563" w:rsidRDefault="00340563" w14:paraId="73B94A0E" w14:textId="3B1E89D7">
            <w:pPr>
              <w:rPr>
                <w:rFonts w:eastAsia="Times New Roman"/>
              </w:rPr>
            </w:pPr>
            <w:r w:rsidRPr="00862B30">
              <w:rPr>
                <w:lang w:eastAsia="zh-CN"/>
              </w:rPr>
              <w:t xml:space="preserve">When the UE would transmit the last symbol of a PUCCH with HARQ-ACK information corresponding to the DCI carrying the </w:t>
            </w:r>
            <w:r w:rsidRPr="00862B30">
              <w:rPr>
                <w:i/>
                <w:iCs/>
                <w:lang w:eastAsia="zh-CN"/>
              </w:rPr>
              <w:t>TCI-State</w:t>
            </w:r>
            <w:r w:rsidRPr="00862B30">
              <w:rPr>
                <w:lang w:eastAsia="zh-CN"/>
              </w:rPr>
              <w:t xml:space="preserve"> indication </w:t>
            </w:r>
            <w:r w:rsidRPr="00862B30">
              <w:rPr>
                <w:shd w:val="clear" w:color="auto" w:fill="FFFFFF"/>
              </w:rPr>
              <w:t>and without DL assignment, or corresponding to the PDSCH scheduling by the DCI carrying the</w:t>
            </w:r>
            <w:r w:rsidRPr="00862B30">
              <w:rPr>
                <w:rStyle w:val="apple-converted-space"/>
                <w:shd w:val="clear" w:color="auto" w:fill="FFFFFF"/>
              </w:rPr>
              <w:t> </w:t>
            </w:r>
            <w:r w:rsidRPr="00862B30">
              <w:rPr>
                <w:rStyle w:val="Emphasis"/>
                <w:rFonts w:eastAsia="SimSun"/>
                <w:shd w:val="clear" w:color="auto" w:fill="FFFFFF"/>
              </w:rPr>
              <w:t>TCI -State</w:t>
            </w:r>
            <w:r w:rsidRPr="00862B30">
              <w:rPr>
                <w:shd w:val="clear" w:color="auto" w:fill="FFFFFF"/>
              </w:rPr>
              <w:t xml:space="preserve"> indication, </w:t>
            </w:r>
            <w:r w:rsidRPr="00862B30">
              <w:rPr>
                <w:lang w:eastAsia="zh-CN"/>
              </w:rPr>
              <w:t xml:space="preserve">and if the </w:t>
            </w:r>
            <w:r w:rsidRPr="00862B30">
              <w:rPr>
                <w:i/>
                <w:iCs/>
              </w:rPr>
              <w:t>indicated TCI-State</w:t>
            </w:r>
            <w:r w:rsidRPr="00862B30">
              <w:rPr>
                <w:lang w:eastAsia="zh-CN"/>
              </w:rPr>
              <w:t xml:space="preserve"> is different </w:t>
            </w:r>
            <w:r w:rsidRPr="00862B30">
              <w:t xml:space="preserve">from </w:t>
            </w:r>
            <w:r w:rsidRPr="00862B30">
              <w:rPr>
                <w:lang w:eastAsia="zh-CN"/>
              </w:rPr>
              <w:t xml:space="preserve">the previously indicated one, </w:t>
            </w:r>
            <w:r w:rsidRPr="00862B30">
              <w:rPr>
                <w:highlight w:val="yellow"/>
                <w:lang w:eastAsia="zh-CN"/>
              </w:rPr>
              <w:t>the indicated</w:t>
            </w:r>
            <w:r w:rsidRPr="00862B30">
              <w:rPr>
                <w:i/>
                <w:iCs/>
                <w:highlight w:val="yellow"/>
                <w:lang w:eastAsia="zh-CN"/>
              </w:rPr>
              <w:t xml:space="preserve"> [TCI-State]</w:t>
            </w:r>
            <w:r w:rsidRPr="00862B30">
              <w:rPr>
                <w:highlight w:val="yellow"/>
                <w:lang w:eastAsia="zh-CN"/>
              </w:rPr>
              <w:t xml:space="preserve"> </w:t>
            </w:r>
            <w:r w:rsidRPr="00862B30">
              <w:rPr>
                <w:highlight w:val="yellow"/>
              </w:rPr>
              <w:t>with</w:t>
            </w:r>
            <w:r w:rsidRPr="00862B30">
              <w:rPr>
                <w:i/>
                <w:iCs/>
                <w:highlight w:val="yellow"/>
              </w:rPr>
              <w:t xml:space="preserve"> </w:t>
            </w:r>
            <w:r w:rsidRPr="00862B30">
              <w:rPr>
                <w:highlight w:val="yellow"/>
              </w:rPr>
              <w:t>[</w:t>
            </w:r>
            <w:r w:rsidRPr="00862B30">
              <w:rPr>
                <w:i/>
                <w:iCs/>
                <w:highlight w:val="yellow"/>
              </w:rPr>
              <w:t xml:space="preserve">tci-StateId_r17] </w:t>
            </w:r>
            <w:r w:rsidRPr="00862B30">
              <w:rPr>
                <w:highlight w:val="yellow"/>
                <w:lang w:eastAsia="zh-CN"/>
              </w:rPr>
              <w:t xml:space="preserve">should be applied starting from the first slot that is at least </w:t>
            </w:r>
            <m:oMath>
              <m:r>
                <w:rPr>
                  <w:rFonts w:ascii="Cambria Math" w:hAnsi="Cambria Math"/>
                  <w:highlight w:val="yellow"/>
                </w:rPr>
                <m:t>BeamAppTime_r17</m:t>
              </m:r>
            </m:oMath>
            <w:r w:rsidRPr="00862B30">
              <w:rPr>
                <w:highlight w:val="yellow"/>
              </w:rPr>
              <w:t xml:space="preserve"> symbols after the last symbol of the PUCCH. The first slot and the </w:t>
            </w:r>
            <m:oMath>
              <m:r>
                <m:rPr>
                  <m:sty m:val="p"/>
                </m:rPr>
                <w:rPr>
                  <w:rFonts w:ascii="Cambria Math" w:hAnsi="Cambria Math"/>
                  <w:highlight w:val="yellow"/>
                </w:rPr>
                <m:t>BeamAppTime_r17</m:t>
              </m:r>
            </m:oMath>
            <w:r w:rsidRPr="00862B30">
              <w:rPr>
                <w:highlight w:val="yellow"/>
              </w:rPr>
              <w:t xml:space="preserve"> symbols are both determined on the carrier with the smallest SCS among the carrier(s) applying the beam indication.</w:t>
            </w:r>
            <w:r w:rsidRPr="00862B30">
              <w:t xml:space="preserve"> The UE can assume one indicated </w:t>
            </w:r>
            <w:r w:rsidRPr="00862B30">
              <w:rPr>
                <w:i/>
                <w:iCs/>
              </w:rPr>
              <w:t>[TCI-State]</w:t>
            </w:r>
            <w:r w:rsidRPr="00862B30">
              <w:t xml:space="preserve"> with</w:t>
            </w:r>
            <w:r w:rsidRPr="00862B30">
              <w:rPr>
                <w:i/>
                <w:iCs/>
              </w:rPr>
              <w:t xml:space="preserve"> </w:t>
            </w:r>
            <w:r w:rsidRPr="00862B30">
              <w:t>[</w:t>
            </w:r>
            <w:r w:rsidRPr="00862B30">
              <w:rPr>
                <w:i/>
                <w:iCs/>
              </w:rPr>
              <w:t xml:space="preserve">tci-StateId_r17] </w:t>
            </w:r>
            <w:r w:rsidRPr="00862B30">
              <w:t>for DL and UL, for DL only, or for UL only at a time.</w:t>
            </w:r>
          </w:p>
          <w:p w:rsidRPr="00862B30" w:rsidR="00340563" w:rsidP="2B7319A9" w:rsidRDefault="00340563" w14:paraId="139B35F6" w14:textId="77777777">
            <w:pPr>
              <w:ind w:right="-22"/>
              <w:rPr>
                <w:rFonts w:eastAsia="Calibri" w:cs="Times New Roman"/>
              </w:rPr>
            </w:pPr>
          </w:p>
        </w:tc>
      </w:tr>
    </w:tbl>
    <w:p w:rsidR="0007437E" w:rsidP="2B7319A9" w:rsidRDefault="0007437E" w14:paraId="36FE00CD" w14:textId="075F5947">
      <w:pPr>
        <w:ind w:right="-22"/>
        <w:rPr>
          <w:rFonts w:eastAsia="Calibri" w:cs="Times New Roman"/>
        </w:rPr>
      </w:pPr>
    </w:p>
    <w:p w:rsidR="00AC56E5" w:rsidP="2B7319A9" w:rsidRDefault="00A006F5" w14:paraId="6FF0A8D2" w14:textId="17F5E515">
      <w:pPr>
        <w:ind w:right="-22"/>
        <w:rPr>
          <w:rFonts w:eastAsia="Calibri" w:cs="Times New Roman"/>
        </w:rPr>
      </w:pPr>
      <w:r w:rsidRPr="004017B6">
        <w:rPr>
          <w:rFonts w:eastAsia="Calibri" w:cs="Times New Roman"/>
          <w:b/>
          <w:bCs/>
        </w:rPr>
        <w:t xml:space="preserve">Observation </w:t>
      </w:r>
      <w:proofErr w:type="gramStart"/>
      <w:r w:rsidRPr="004017B6" w:rsidR="009A264D">
        <w:rPr>
          <w:rFonts w:eastAsia="Calibri" w:cs="Times New Roman"/>
          <w:b/>
          <w:bCs/>
        </w:rPr>
        <w:t xml:space="preserve">2 </w:t>
      </w:r>
      <w:r w:rsidRPr="004017B6">
        <w:rPr>
          <w:rFonts w:eastAsia="Calibri" w:cs="Times New Roman"/>
          <w:b/>
          <w:bCs/>
        </w:rPr>
        <w:t>:</w:t>
      </w:r>
      <w:proofErr w:type="gramEnd"/>
      <w:r>
        <w:rPr>
          <w:rFonts w:eastAsia="Calibri" w:cs="Times New Roman"/>
        </w:rPr>
        <w:t xml:space="preserve"> RAN1 </w:t>
      </w:r>
      <w:r w:rsidRPr="004017B6">
        <w:rPr>
          <w:rFonts w:eastAsia="Calibri" w:cs="Times New Roman"/>
        </w:rPr>
        <w:t xml:space="preserve">defines beam application time (BAT) for Rel-17 DL and UL TCI switching delay. The delay refers to </w:t>
      </w:r>
      <m:oMath>
        <m:r>
          <w:rPr>
            <w:rFonts w:ascii="Cambria Math" w:hAnsi="Cambria Math"/>
          </w:rPr>
          <m:t>BeamAppTime_r17</m:t>
        </m:r>
      </m:oMath>
      <w:r w:rsidRPr="004017B6">
        <w:rPr>
          <w:rFonts w:eastAsia="Calibri" w:cs="Times New Roman"/>
        </w:rPr>
        <w:t xml:space="preserve"> for both DL</w:t>
      </w:r>
      <w:r>
        <w:rPr>
          <w:rFonts w:eastAsia="Calibri" w:cs="Times New Roman"/>
        </w:rPr>
        <w:t xml:space="preserve"> and UL. </w:t>
      </w:r>
    </w:p>
    <w:p w:rsidRPr="00A006F5" w:rsidR="00AC56E5" w:rsidP="2B7319A9" w:rsidRDefault="00A006F5" w14:paraId="4B5CE300" w14:textId="4F621737">
      <w:pPr>
        <w:ind w:right="-22"/>
        <w:rPr>
          <w:rFonts w:eastAsia="Calibri" w:cs="Times New Roman"/>
        </w:rPr>
      </w:pPr>
      <w:r w:rsidRPr="004017B6">
        <w:rPr>
          <w:rFonts w:eastAsia="Calibri" w:cs="Times New Roman"/>
          <w:b/>
          <w:bCs/>
        </w:rPr>
        <w:t xml:space="preserve">Observation </w:t>
      </w:r>
      <w:proofErr w:type="gramStart"/>
      <w:r w:rsidRPr="004017B6" w:rsidR="009A264D">
        <w:rPr>
          <w:rFonts w:eastAsia="Calibri" w:cs="Times New Roman"/>
          <w:b/>
          <w:bCs/>
        </w:rPr>
        <w:t xml:space="preserve">3 </w:t>
      </w:r>
      <w:r w:rsidRPr="004017B6">
        <w:rPr>
          <w:rFonts w:eastAsia="Calibri" w:cs="Times New Roman"/>
          <w:b/>
          <w:bCs/>
        </w:rPr>
        <w:t>:</w:t>
      </w:r>
      <w:proofErr w:type="gramEnd"/>
      <w:r>
        <w:rPr>
          <w:rFonts w:eastAsia="Calibri" w:cs="Times New Roman"/>
        </w:rPr>
        <w:t xml:space="preserve"> Rel-16 TCI switching delay referring to </w:t>
      </w:r>
      <w:proofErr w:type="spellStart"/>
      <w:r>
        <w:rPr>
          <w:rFonts w:eastAsia="맑은 고딕"/>
          <w:i/>
          <w:iCs/>
          <w:lang w:eastAsia="zh-CN"/>
        </w:rPr>
        <w:t>timeDurationForQCL</w:t>
      </w:r>
      <w:proofErr w:type="spellEnd"/>
      <w:r>
        <w:rPr>
          <w:rFonts w:eastAsia="맑은 고딕"/>
          <w:i/>
          <w:iCs/>
          <w:lang w:eastAsia="zh-CN"/>
        </w:rPr>
        <w:t xml:space="preserve"> </w:t>
      </w:r>
      <w:r>
        <w:rPr>
          <w:rFonts w:eastAsia="맑은 고딕"/>
          <w:lang w:eastAsia="zh-CN"/>
        </w:rPr>
        <w:t>cannot be reused for Rel-17 unified TCI framework.</w:t>
      </w:r>
    </w:p>
    <w:p w:rsidR="00AC56E5" w:rsidP="2B7319A9" w:rsidRDefault="00A006F5" w14:paraId="75FD1DF8" w14:textId="000F52B0">
      <w:pPr>
        <w:ind w:right="-22"/>
        <w:rPr>
          <w:rFonts w:eastAsia="Calibri" w:cs="Times New Roman"/>
        </w:rPr>
      </w:pPr>
      <w:r>
        <w:rPr>
          <w:rFonts w:eastAsia="Calibri" w:cs="Times New Roman"/>
        </w:rPr>
        <w:t xml:space="preserve">Based on the statement in TS38.214, it would be possible to express the requirement in an equation form from the TS38.214 statement, but we conclude it is somewhat complex. It will be easier and clearer to make requirements aligned with RAN1 statements. </w:t>
      </w:r>
    </w:p>
    <w:p w:rsidR="009A264D" w:rsidP="009A264D" w:rsidRDefault="00A006F5" w14:paraId="2E6F70B7" w14:textId="012188DA">
      <w:pPr>
        <w:ind w:right="-22"/>
        <w:rPr>
          <w:rFonts w:eastAsia="Calibri" w:cs="Times New Roman"/>
        </w:rPr>
      </w:pPr>
      <w:r w:rsidRPr="004017B6">
        <w:rPr>
          <w:rFonts w:eastAsia="Calibri" w:cs="Times New Roman"/>
          <w:b/>
          <w:bCs/>
        </w:rPr>
        <w:lastRenderedPageBreak/>
        <w:t xml:space="preserve">Proposal </w:t>
      </w:r>
      <w:proofErr w:type="gramStart"/>
      <w:r w:rsidRPr="004017B6" w:rsidR="009A264D">
        <w:rPr>
          <w:rFonts w:eastAsia="Calibri" w:cs="Times New Roman"/>
          <w:b/>
          <w:bCs/>
        </w:rPr>
        <w:t xml:space="preserve">7 </w:t>
      </w:r>
      <w:r w:rsidRPr="004017B6">
        <w:rPr>
          <w:rFonts w:eastAsia="Calibri" w:cs="Times New Roman"/>
          <w:b/>
          <w:bCs/>
        </w:rPr>
        <w:t>:</w:t>
      </w:r>
      <w:proofErr w:type="gramEnd"/>
      <w:r w:rsidRPr="004017B6">
        <w:rPr>
          <w:rFonts w:eastAsia="Calibri" w:cs="Times New Roman"/>
        </w:rPr>
        <w:t xml:space="preserve"> </w:t>
      </w:r>
      <w:r w:rsidRPr="004017B6" w:rsidR="009A264D">
        <w:rPr>
          <w:rFonts w:eastAsia="Calibri" w:cs="Times New Roman"/>
        </w:rPr>
        <w:t xml:space="preserve">Adopt DCI-based DL and UL switching requirements in Appendix 6 </w:t>
      </w:r>
    </w:p>
    <w:p w:rsidR="00A006F5" w:rsidP="2B7319A9" w:rsidRDefault="00A006F5" w14:paraId="7C45DBF9" w14:textId="1F14D911">
      <w:pPr>
        <w:ind w:right="-22"/>
        <w:rPr>
          <w:rFonts w:eastAsia="Calibri" w:cs="Times New Roman"/>
        </w:rPr>
      </w:pPr>
    </w:p>
    <w:p w:rsidRPr="002E6868" w:rsidR="00A006F5" w:rsidP="002E6868" w:rsidRDefault="002E6868" w14:paraId="7DD83385" w14:textId="78D97D80">
      <w:pPr>
        <w:pStyle w:val="RAN4H2"/>
        <w:numPr>
          <w:ilvl w:val="0"/>
          <w:numId w:val="0"/>
        </w:numPr>
        <w:ind w:left="360"/>
        <w:rPr>
          <w:sz w:val="28"/>
          <w:szCs w:val="28"/>
        </w:rPr>
      </w:pPr>
      <w:r>
        <w:rPr>
          <w:sz w:val="28"/>
          <w:szCs w:val="28"/>
        </w:rPr>
        <w:t xml:space="preserve">2.3   </w:t>
      </w:r>
      <w:r w:rsidRPr="002E6868">
        <w:rPr>
          <w:sz w:val="28"/>
          <w:szCs w:val="28"/>
        </w:rPr>
        <w:t>TCI switching delay requirement in CA case</w:t>
      </w:r>
    </w:p>
    <w:p w:rsidRPr="00862B30" w:rsidR="00A006F5" w:rsidP="2B7319A9" w:rsidRDefault="00A006F5" w14:paraId="680ED17A" w14:textId="77777777">
      <w:pPr>
        <w:ind w:right="-22"/>
        <w:rPr>
          <w:rFonts w:eastAsia="Calibri" w:cs="Times New Roman"/>
        </w:rPr>
      </w:pPr>
    </w:p>
    <w:p w:rsidRPr="00862B30" w:rsidR="00254D45" w:rsidP="003E6400" w:rsidRDefault="002E6868" w14:paraId="0143C25C" w14:textId="68FD36EF">
      <w:pPr>
        <w:ind w:right="-22"/>
        <w:rPr>
          <w:rFonts w:eastAsia="Calibri" w:cs="Times New Roman"/>
          <w:szCs w:val="20"/>
        </w:rPr>
      </w:pPr>
      <w:r>
        <w:rPr>
          <w:rFonts w:eastAsia="Calibri" w:cs="Times New Roman"/>
          <w:szCs w:val="20"/>
        </w:rPr>
        <w:t>RAN</w:t>
      </w:r>
      <w:r w:rsidR="00ED6D73">
        <w:rPr>
          <w:rFonts w:eastAsia="Calibri" w:cs="Times New Roman"/>
          <w:szCs w:val="20"/>
        </w:rPr>
        <w:t xml:space="preserve">4 is discussing to specify </w:t>
      </w:r>
      <w:r w:rsidRPr="00ED6D73" w:rsidR="00ED6D73">
        <w:rPr>
          <w:rFonts w:eastAsia="Calibri" w:cs="Times New Roman"/>
          <w:szCs w:val="20"/>
        </w:rPr>
        <w:t>whether to specify the TCI switching delay requirement in CA case</w:t>
      </w:r>
      <w:r w:rsidR="00ED6D73">
        <w:rPr>
          <w:rFonts w:eastAsia="Calibri" w:cs="Times New Roman"/>
          <w:szCs w:val="20"/>
        </w:rPr>
        <w:t>.</w:t>
      </w:r>
    </w:p>
    <w:tbl>
      <w:tblPr>
        <w:tblStyle w:val="TableGrid"/>
        <w:tblW w:w="0" w:type="auto"/>
        <w:tblLook w:val="04A0" w:firstRow="1" w:lastRow="0" w:firstColumn="1" w:lastColumn="0" w:noHBand="0" w:noVBand="1"/>
      </w:tblPr>
      <w:tblGrid>
        <w:gridCol w:w="9062"/>
      </w:tblGrid>
      <w:tr w:rsidRPr="00862B30" w:rsidR="00254D45" w:rsidTr="00254D45" w14:paraId="412FE5CD" w14:textId="77777777">
        <w:tc>
          <w:tcPr>
            <w:tcW w:w="9062" w:type="dxa"/>
          </w:tcPr>
          <w:p w:rsidRPr="00862B30" w:rsidR="00254D45" w:rsidP="00254D45" w:rsidRDefault="00254D45" w14:paraId="20C634DF" w14:textId="2384FF7A">
            <w:pPr>
              <w:autoSpaceDN w:val="0"/>
              <w:spacing w:after="120"/>
              <w:rPr>
                <w:rFonts w:eastAsia="MS Mincho"/>
              </w:rPr>
            </w:pPr>
            <w:r w:rsidRPr="00862B30">
              <w:rPr>
                <w:rFonts w:eastAsia="MS Mincho"/>
                <w:highlight w:val="green"/>
              </w:rPr>
              <w:t>RAN4#101b agreement</w:t>
            </w:r>
          </w:p>
          <w:p w:rsidRPr="00862B30" w:rsidR="00254D45" w:rsidP="00254D45" w:rsidRDefault="00254D45" w14:paraId="3076BA27" w14:textId="77777777">
            <w:pPr>
              <w:pStyle w:val="ListParagraph"/>
              <w:autoSpaceDN w:val="0"/>
              <w:spacing w:after="120"/>
              <w:contextualSpacing w:val="0"/>
              <w:rPr>
                <w:rFonts w:eastAsia="MS Mincho"/>
              </w:rPr>
            </w:pPr>
          </w:p>
          <w:p w:rsidRPr="00862B30" w:rsidR="00254D45" w:rsidP="00254D45" w:rsidRDefault="00254D45" w14:paraId="0AC68799" w14:textId="6EE709FA">
            <w:pPr>
              <w:pStyle w:val="ListParagraph"/>
              <w:numPr>
                <w:ilvl w:val="0"/>
                <w:numId w:val="30"/>
              </w:numPr>
              <w:autoSpaceDN w:val="0"/>
              <w:spacing w:after="120"/>
              <w:ind w:left="720"/>
              <w:contextualSpacing w:val="0"/>
              <w:rPr>
                <w:rFonts w:eastAsia="MS Mincho"/>
              </w:rPr>
            </w:pPr>
            <w:r w:rsidRPr="00862B30">
              <w:t>Delay requirements for TCI switching in CA case</w:t>
            </w:r>
          </w:p>
          <w:p w:rsidRPr="00862B30" w:rsidR="00254D45" w:rsidP="00254D45" w:rsidRDefault="00254D45" w14:paraId="7D4CB08D" w14:textId="77777777">
            <w:pPr>
              <w:pStyle w:val="ListParagraph"/>
              <w:numPr>
                <w:ilvl w:val="1"/>
                <w:numId w:val="30"/>
              </w:numPr>
              <w:autoSpaceDN w:val="0"/>
              <w:spacing w:after="120"/>
              <w:ind w:left="1580"/>
              <w:contextualSpacing w:val="0"/>
            </w:pPr>
            <w:r w:rsidRPr="00862B30">
              <w:t xml:space="preserve">RAN4 will further study whether to specify the TCI switching delay requirement in CA case </w:t>
            </w:r>
          </w:p>
          <w:p w:rsidRPr="00862B30" w:rsidR="00254D45" w:rsidP="003E6400" w:rsidRDefault="00254D45" w14:paraId="425E92BB" w14:textId="77777777">
            <w:pPr>
              <w:ind w:right="-22"/>
              <w:rPr>
                <w:rFonts w:eastAsia="Calibri" w:cs="Times New Roman"/>
                <w:szCs w:val="20"/>
              </w:rPr>
            </w:pPr>
          </w:p>
        </w:tc>
      </w:tr>
    </w:tbl>
    <w:p w:rsidR="00254D45" w:rsidP="003E6400" w:rsidRDefault="00254D45" w14:paraId="21900AAA" w14:textId="046EDEE5">
      <w:pPr>
        <w:ind w:right="-22"/>
        <w:rPr>
          <w:rFonts w:eastAsia="Calibri" w:cs="Times New Roman"/>
          <w:szCs w:val="20"/>
        </w:rPr>
      </w:pPr>
    </w:p>
    <w:p w:rsidR="00ED6D73" w:rsidP="003E6400" w:rsidRDefault="00ED6D73" w14:paraId="2C69AEDD" w14:textId="56DFE2F9">
      <w:pPr>
        <w:ind w:right="-22"/>
        <w:rPr>
          <w:rFonts w:eastAsia="Calibri" w:cs="Times New Roman"/>
          <w:szCs w:val="20"/>
        </w:rPr>
      </w:pPr>
      <w:r>
        <w:rPr>
          <w:rFonts w:eastAsia="Calibri" w:cs="Times New Roman"/>
          <w:szCs w:val="20"/>
        </w:rPr>
        <w:t>When CA is configured with BWP/CC, a reference CC is required for the switching indication across multiple CCs. RAN1 defines c</w:t>
      </w:r>
      <w:r w:rsidRPr="00ED6D73">
        <w:rPr>
          <w:rFonts w:eastAsia="Calibri" w:cs="Times New Roman"/>
          <w:szCs w:val="20"/>
        </w:rPr>
        <w:t>ommon cross-CC TCI update</w:t>
      </w:r>
    </w:p>
    <w:tbl>
      <w:tblPr>
        <w:tblStyle w:val="TableGrid"/>
        <w:tblW w:w="0" w:type="auto"/>
        <w:tblLook w:val="04A0" w:firstRow="1" w:lastRow="0" w:firstColumn="1" w:lastColumn="0" w:noHBand="0" w:noVBand="1"/>
      </w:tblPr>
      <w:tblGrid>
        <w:gridCol w:w="9062"/>
      </w:tblGrid>
      <w:tr w:rsidR="00ED6D73" w:rsidTr="0A4C353B" w14:paraId="148F8F35" w14:textId="77777777">
        <w:tc>
          <w:tcPr>
            <w:tcW w:w="9062" w:type="dxa"/>
            <w:tcMar/>
          </w:tcPr>
          <w:p w:rsidRPr="00862B30" w:rsidR="00ED6D73" w:rsidP="00ED6D73" w:rsidRDefault="00ED6D73" w14:paraId="7F6AADB3" w14:textId="77777777">
            <w:pPr>
              <w:ind w:right="-22"/>
              <w:rPr>
                <w:rFonts w:eastAsia="Calibri" w:cs="Times New Roman"/>
                <w:szCs w:val="20"/>
              </w:rPr>
            </w:pPr>
            <w:r w:rsidRPr="00862B30">
              <w:rPr>
                <w:rFonts w:eastAsia="Calibri" w:cs="Times New Roman"/>
                <w:b/>
                <w:bCs/>
                <w:szCs w:val="20"/>
                <w:highlight w:val="green"/>
              </w:rPr>
              <w:t>Agreement in RAN1 #107</w:t>
            </w:r>
          </w:p>
          <w:p w:rsidRPr="00862B30" w:rsidR="00ED6D73" w:rsidP="00ED6D73" w:rsidRDefault="00ED6D73" w14:paraId="3A969A79" w14:textId="77777777">
            <w:pPr>
              <w:ind w:right="-22"/>
              <w:rPr>
                <w:rFonts w:eastAsia="Calibri" w:cs="Times New Roman"/>
                <w:szCs w:val="20"/>
              </w:rPr>
            </w:pPr>
            <w:r w:rsidRPr="00862B30">
              <w:rPr>
                <w:rFonts w:eastAsia="Calibri" w:cs="Times New Roman"/>
                <w:szCs w:val="20"/>
              </w:rPr>
              <w:t xml:space="preserve">On Rel-17 DCI-based beam indication, regarding application time of the beam indication, the </w:t>
            </w:r>
            <w:r w:rsidRPr="007C3893">
              <w:rPr>
                <w:rFonts w:eastAsia="Calibri" w:cs="Times New Roman"/>
                <w:szCs w:val="20"/>
                <w:highlight w:val="yellow"/>
              </w:rPr>
              <w:t xml:space="preserve">UE can assume that </w:t>
            </w:r>
            <w:r w:rsidRPr="007C3893">
              <w:rPr>
                <w:rFonts w:eastAsia="Calibri" w:cs="Times New Roman"/>
                <w:b/>
                <w:bCs/>
                <w:szCs w:val="20"/>
                <w:highlight w:val="yellow"/>
              </w:rPr>
              <w:t xml:space="preserve">one beam application time (BAT) </w:t>
            </w:r>
            <w:r w:rsidRPr="007C3893">
              <w:rPr>
                <w:rFonts w:eastAsia="Calibri" w:cs="Times New Roman"/>
                <w:szCs w:val="20"/>
                <w:highlight w:val="yellow"/>
              </w:rPr>
              <w:t>for a given SCS is configured for all the CCs</w:t>
            </w:r>
            <w:r w:rsidRPr="00862B30">
              <w:rPr>
                <w:rFonts w:eastAsia="Calibri" w:cs="Times New Roman"/>
                <w:szCs w:val="20"/>
              </w:rPr>
              <w:t xml:space="preserve"> configured with the common TCI state ID update,</w:t>
            </w:r>
          </w:p>
          <w:p w:rsidRPr="00862B30" w:rsidR="00ED6D73" w:rsidP="00ED6D73" w:rsidRDefault="00ED6D73" w14:paraId="3EB0E3E8" w14:textId="77777777">
            <w:pPr>
              <w:numPr>
                <w:ilvl w:val="0"/>
                <w:numId w:val="24"/>
              </w:numPr>
              <w:ind w:right="-22"/>
              <w:rPr>
                <w:rFonts w:eastAsia="Calibri" w:cs="Times New Roman"/>
                <w:szCs w:val="20"/>
              </w:rPr>
            </w:pPr>
            <w:r w:rsidRPr="00862B30">
              <w:rPr>
                <w:rFonts w:eastAsia="Calibri" w:cs="Times New Roman"/>
                <w:szCs w:val="20"/>
              </w:rPr>
              <w:t>Note: It was agreed that the BAT associated with the carrier(s) (hence BWP(s)/CC(s)) on which the beam indication applies is determined based on the carrier with the smallest SCS among the carrier(s) (hence BWP(s)/CC(s)) applying the beam indication</w:t>
            </w:r>
          </w:p>
          <w:p w:rsidRPr="00862B30" w:rsidR="00ED6D73" w:rsidP="0A4C353B" w:rsidRDefault="00ED6D73" w14:paraId="23240DDB" w14:textId="26A809B7">
            <w:pPr>
              <w:numPr>
                <w:ilvl w:val="0"/>
                <w:numId w:val="24"/>
              </w:numPr>
              <w:ind w:right="-22"/>
              <w:rPr>
                <w:rFonts w:eastAsia="Calibri" w:cs="Times New Roman"/>
              </w:rPr>
            </w:pPr>
            <w:r w:rsidRPr="0A4C353B" w:rsidR="00ED6D73">
              <w:rPr>
                <w:rFonts w:eastAsia="Calibri" w:cs="Times New Roman"/>
              </w:rPr>
              <w:t xml:space="preserve">The detailed </w:t>
            </w:r>
            <w:r w:rsidRPr="0A4C353B" w:rsidR="00ED6D73">
              <w:rPr>
                <w:rFonts w:eastAsia="Calibri" w:cs="Times New Roman"/>
              </w:rPr>
              <w:t>signaling</w:t>
            </w:r>
            <w:r w:rsidRPr="0A4C353B" w:rsidR="00ED6D73">
              <w:rPr>
                <w:rFonts w:eastAsia="Calibri" w:cs="Times New Roman"/>
              </w:rPr>
              <w:t xml:space="preserve"> of the BAT is up to RAN2</w:t>
            </w:r>
          </w:p>
          <w:p w:rsidRPr="00862B30" w:rsidR="00ED6D73" w:rsidP="00ED6D73" w:rsidRDefault="00ED6D73" w14:paraId="3934447B" w14:textId="77777777">
            <w:pPr>
              <w:numPr>
                <w:ilvl w:val="0"/>
                <w:numId w:val="24"/>
              </w:numPr>
              <w:ind w:right="-22"/>
              <w:rPr>
                <w:rFonts w:eastAsia="Calibri" w:cs="Times New Roman"/>
                <w:szCs w:val="20"/>
              </w:rPr>
            </w:pPr>
            <w:r w:rsidRPr="00862B30">
              <w:rPr>
                <w:rFonts w:eastAsia="Calibri" w:cs="Times New Roman"/>
                <w:szCs w:val="20"/>
              </w:rPr>
              <w:t>FFS: For CC(s) not configured with a common TCI state ID update</w:t>
            </w:r>
          </w:p>
          <w:p w:rsidR="00ED6D73" w:rsidP="003E6400" w:rsidRDefault="00ED6D73" w14:paraId="06E4DA18" w14:textId="77777777">
            <w:pPr>
              <w:ind w:right="-22"/>
              <w:rPr>
                <w:rFonts w:eastAsia="Calibri" w:cs="Times New Roman"/>
                <w:szCs w:val="20"/>
              </w:rPr>
            </w:pPr>
          </w:p>
        </w:tc>
      </w:tr>
    </w:tbl>
    <w:p w:rsidR="00831E81" w:rsidP="003E6400" w:rsidRDefault="00831E81" w14:paraId="09D17158" w14:textId="77777777">
      <w:pPr>
        <w:ind w:right="-22"/>
        <w:rPr>
          <w:rFonts w:eastAsia="Calibri" w:cs="Times New Roman"/>
          <w:szCs w:val="20"/>
        </w:rPr>
      </w:pPr>
    </w:p>
    <w:p w:rsidRPr="00862B30" w:rsidR="00410161" w:rsidP="003E6400" w:rsidRDefault="00ED6D73" w14:paraId="7CBB3822" w14:textId="20CA3EA1">
      <w:pPr>
        <w:ind w:right="-22"/>
        <w:rPr>
          <w:rFonts w:eastAsia="Calibri" w:cs="Times New Roman"/>
          <w:szCs w:val="20"/>
        </w:rPr>
      </w:pPr>
      <w:r>
        <w:rPr>
          <w:rFonts w:eastAsia="Calibri" w:cs="Times New Roman"/>
          <w:szCs w:val="20"/>
        </w:rPr>
        <w:t xml:space="preserve">This </w:t>
      </w:r>
      <w:r w:rsidR="00831E81">
        <w:rPr>
          <w:rFonts w:eastAsia="Calibri" w:cs="Times New Roman"/>
          <w:szCs w:val="20"/>
        </w:rPr>
        <w:t>discussion reached</w:t>
      </w:r>
      <w:r>
        <w:rPr>
          <w:rFonts w:eastAsia="Calibri" w:cs="Times New Roman"/>
          <w:szCs w:val="20"/>
        </w:rPr>
        <w:t xml:space="preserve"> to TS38.214 as</w:t>
      </w:r>
    </w:p>
    <w:tbl>
      <w:tblPr>
        <w:tblStyle w:val="TableGrid"/>
        <w:tblW w:w="0" w:type="auto"/>
        <w:tblLook w:val="04A0" w:firstRow="1" w:lastRow="0" w:firstColumn="1" w:lastColumn="0" w:noHBand="0" w:noVBand="1"/>
      </w:tblPr>
      <w:tblGrid>
        <w:gridCol w:w="9062"/>
      </w:tblGrid>
      <w:tr w:rsidR="00ED6D73" w:rsidTr="00ED6D73" w14:paraId="07E631EE" w14:textId="77777777">
        <w:tc>
          <w:tcPr>
            <w:tcW w:w="9062" w:type="dxa"/>
          </w:tcPr>
          <w:p w:rsidRPr="00862B30" w:rsidR="00ED6D73" w:rsidP="00ED6D73" w:rsidRDefault="00ED6D73" w14:paraId="61A1EB3D" w14:textId="41976A0C">
            <w:pPr>
              <w:rPr>
                <w:b/>
                <w:bCs/>
                <w:color w:val="000000"/>
              </w:rPr>
            </w:pPr>
            <w:r w:rsidRPr="00862B30">
              <w:rPr>
                <w:b/>
                <w:bCs/>
              </w:rPr>
              <w:t xml:space="preserve">Rel-17 38.214 section 5.1.5 </w:t>
            </w:r>
          </w:p>
          <w:p w:rsidR="00ED6D73" w:rsidP="00ED6D73" w:rsidRDefault="00ED6D73" w14:paraId="7EFEF8AC" w14:textId="7CC2F361">
            <w:pPr>
              <w:ind w:right="-22"/>
              <w:rPr>
                <w:rFonts w:eastAsia="Calibri" w:cs="Times New Roman"/>
                <w:szCs w:val="20"/>
              </w:rPr>
            </w:pPr>
          </w:p>
          <w:p w:rsidR="00ED6D73" w:rsidP="00ED6D73" w:rsidRDefault="00ED6D73" w14:paraId="1696E881" w14:textId="77777777">
            <w:pPr>
              <w:ind w:right="-22"/>
              <w:rPr>
                <w:color w:val="000000" w:themeColor="text1"/>
              </w:rPr>
            </w:pPr>
            <w:r w:rsidRPr="00862B30">
              <w:rPr>
                <w:color w:val="000000" w:themeColor="text1"/>
              </w:rPr>
              <w:t>If the [</w:t>
            </w:r>
            <w:r w:rsidRPr="00862B30">
              <w:rPr>
                <w:i/>
                <w:iCs/>
                <w:color w:val="000000" w:themeColor="text1"/>
              </w:rPr>
              <w:t>TCI-State</w:t>
            </w:r>
            <w:r w:rsidRPr="00862B30">
              <w:rPr>
                <w:color w:val="000000" w:themeColor="text1"/>
              </w:rPr>
              <w:t xml:space="preserve">] configurations </w:t>
            </w:r>
            <w:proofErr w:type="gramStart"/>
            <w:r w:rsidRPr="00862B30">
              <w:rPr>
                <w:color w:val="000000" w:themeColor="text1"/>
              </w:rPr>
              <w:t>is</w:t>
            </w:r>
            <w:proofErr w:type="gramEnd"/>
            <w:r w:rsidRPr="00862B30">
              <w:rPr>
                <w:color w:val="000000" w:themeColor="text1"/>
              </w:rPr>
              <w:t xml:space="preserve"> absent in a BWP of the CC, the UE can apply the [</w:t>
            </w:r>
            <w:r w:rsidRPr="00862B30">
              <w:rPr>
                <w:i/>
                <w:iCs/>
                <w:color w:val="000000" w:themeColor="text1"/>
              </w:rPr>
              <w:t>TCI-State</w:t>
            </w:r>
            <w:r w:rsidRPr="00862B30">
              <w:rPr>
                <w:color w:val="000000" w:themeColor="text1"/>
              </w:rPr>
              <w:t>] configuration from a reference BWP of a reference CC.</w:t>
            </w:r>
          </w:p>
          <w:p w:rsidR="00ED6D73" w:rsidP="003E6400" w:rsidRDefault="00ED6D73" w14:paraId="5D184A45" w14:textId="77777777">
            <w:pPr>
              <w:ind w:right="-22"/>
              <w:rPr>
                <w:rFonts w:eastAsia="Calibri" w:cs="Times New Roman"/>
                <w:szCs w:val="20"/>
              </w:rPr>
            </w:pPr>
          </w:p>
        </w:tc>
      </w:tr>
    </w:tbl>
    <w:p w:rsidR="00ED6D73" w:rsidP="003E6400" w:rsidRDefault="00ED6D73" w14:paraId="6055C20B" w14:textId="55020C57">
      <w:pPr>
        <w:ind w:right="-22"/>
        <w:rPr>
          <w:color w:val="000000" w:themeColor="text1"/>
        </w:rPr>
      </w:pPr>
    </w:p>
    <w:p w:rsidRPr="004017B6" w:rsidR="00ED6D73" w:rsidP="003E6400" w:rsidRDefault="00ED6D73" w14:paraId="4AA05878" w14:textId="11DC3324">
      <w:pPr>
        <w:ind w:right="-22"/>
        <w:rPr>
          <w:color w:val="000000" w:themeColor="text1"/>
        </w:rPr>
      </w:pPr>
      <w:r>
        <w:rPr>
          <w:color w:val="000000" w:themeColor="text1"/>
        </w:rPr>
        <w:t xml:space="preserve">Basically, this is about a way to indicate a reference CC for TCI switching </w:t>
      </w:r>
      <w:r w:rsidRPr="004017B6">
        <w:rPr>
          <w:color w:val="000000" w:themeColor="text1"/>
        </w:rPr>
        <w:t xml:space="preserve">across multiple CCs, it does not change TCI switching delays that RAN4 is currently discussing. </w:t>
      </w:r>
    </w:p>
    <w:p w:rsidRPr="004017B6" w:rsidR="00ED6D73" w:rsidP="003E6400" w:rsidRDefault="00ED6D73" w14:paraId="58848409" w14:textId="1A2340EE">
      <w:pPr>
        <w:ind w:right="-22"/>
        <w:rPr>
          <w:rFonts w:eastAsia="Calibri" w:cs="Times New Roman"/>
          <w:szCs w:val="20"/>
        </w:rPr>
      </w:pPr>
      <w:r w:rsidRPr="004017B6">
        <w:rPr>
          <w:b/>
          <w:bCs/>
          <w:color w:val="000000" w:themeColor="text1"/>
        </w:rPr>
        <w:t xml:space="preserve">Observation </w:t>
      </w:r>
      <w:proofErr w:type="gramStart"/>
      <w:r w:rsidRPr="004017B6" w:rsidR="009A264D">
        <w:rPr>
          <w:b/>
          <w:bCs/>
          <w:color w:val="000000" w:themeColor="text1"/>
        </w:rPr>
        <w:t xml:space="preserve">4 </w:t>
      </w:r>
      <w:r w:rsidRPr="004017B6">
        <w:rPr>
          <w:b/>
          <w:bCs/>
          <w:color w:val="000000" w:themeColor="text1"/>
        </w:rPr>
        <w:t>:</w:t>
      </w:r>
      <w:proofErr w:type="gramEnd"/>
      <w:r w:rsidRPr="004017B6">
        <w:rPr>
          <w:color w:val="000000" w:themeColor="text1"/>
        </w:rPr>
        <w:t xml:space="preserve"> Common cross-CC TCI update is about a reference CC for TCI switching across multiple CCs, it does not </w:t>
      </w:r>
      <w:r w:rsidRPr="004017B6" w:rsidR="009E201C">
        <w:rPr>
          <w:color w:val="000000" w:themeColor="text1"/>
        </w:rPr>
        <w:t xml:space="preserve">impact </w:t>
      </w:r>
      <w:r w:rsidRPr="004017B6">
        <w:rPr>
          <w:color w:val="000000" w:themeColor="text1"/>
        </w:rPr>
        <w:t>TCI switching delay</w:t>
      </w:r>
      <w:r w:rsidRPr="004017B6" w:rsidR="009E201C">
        <w:rPr>
          <w:color w:val="000000" w:themeColor="text1"/>
        </w:rPr>
        <w:t xml:space="preserve"> requirements</w:t>
      </w:r>
      <w:r w:rsidRPr="004017B6">
        <w:rPr>
          <w:color w:val="000000" w:themeColor="text1"/>
        </w:rPr>
        <w:t xml:space="preserve"> that RAN4 is currently discussing.</w:t>
      </w:r>
    </w:p>
    <w:p w:rsidRPr="004017B6" w:rsidR="00831E81" w:rsidP="00831E81" w:rsidRDefault="00831E81" w14:paraId="3C3E6A1A" w14:textId="20BC5612">
      <w:pPr>
        <w:ind w:right="-22"/>
        <w:rPr>
          <w:rFonts w:eastAsia="Calibri" w:cs="Times New Roman"/>
          <w:szCs w:val="20"/>
        </w:rPr>
      </w:pPr>
      <w:r w:rsidRPr="004017B6">
        <w:rPr>
          <w:rFonts w:eastAsia="Calibri" w:cs="Times New Roman"/>
          <w:szCs w:val="20"/>
        </w:rPr>
        <w:t>Both cases are possible under RAN1 agreement in Rel-17 as</w:t>
      </w:r>
    </w:p>
    <w:p w:rsidRPr="004017B6" w:rsidR="00831E81" w:rsidP="007A10E0" w:rsidRDefault="00831E81" w14:paraId="2B0413A2" w14:textId="122B9171">
      <w:pPr>
        <w:pStyle w:val="ListParagraph"/>
        <w:numPr>
          <w:ilvl w:val="0"/>
          <w:numId w:val="26"/>
        </w:numPr>
        <w:ind w:right="-22"/>
        <w:rPr>
          <w:rFonts w:eastAsia="Calibri" w:cs="Times New Roman"/>
          <w:szCs w:val="20"/>
        </w:rPr>
      </w:pPr>
      <w:r w:rsidRPr="004017B6">
        <w:rPr>
          <w:rFonts w:eastAsia="Calibri" w:cs="Times New Roman"/>
          <w:szCs w:val="20"/>
        </w:rPr>
        <w:t>RRC-configured TCI state pool(s) can be configured in the PDSCH configuration (PDSCH-Config) for each BWP/CC as in Rel-15/16</w:t>
      </w:r>
    </w:p>
    <w:p w:rsidRPr="004017B6" w:rsidR="00831E81" w:rsidP="00831E81" w:rsidRDefault="00831E81" w14:paraId="38BD13A7" w14:textId="5C650881">
      <w:pPr>
        <w:pStyle w:val="ListParagraph"/>
        <w:numPr>
          <w:ilvl w:val="0"/>
          <w:numId w:val="26"/>
        </w:numPr>
        <w:ind w:right="-22"/>
        <w:rPr>
          <w:rFonts w:eastAsia="Calibri" w:cs="Times New Roman"/>
          <w:szCs w:val="20"/>
        </w:rPr>
      </w:pPr>
      <w:r w:rsidRPr="004017B6">
        <w:rPr>
          <w:rFonts w:eastAsia="Calibri" w:cs="Times New Roman"/>
          <w:szCs w:val="20"/>
        </w:rPr>
        <w:t>RRC-configured TCI state pool(s) can be absent in the PDSCH configuration (PDSCH-Config) for each BWP/</w:t>
      </w:r>
      <w:proofErr w:type="gramStart"/>
      <w:r w:rsidRPr="004017B6">
        <w:rPr>
          <w:rFonts w:eastAsia="Calibri" w:cs="Times New Roman"/>
          <w:szCs w:val="20"/>
        </w:rPr>
        <w:t>CC, and</w:t>
      </w:r>
      <w:proofErr w:type="gramEnd"/>
      <w:r w:rsidRPr="004017B6">
        <w:rPr>
          <w:rFonts w:eastAsia="Calibri" w:cs="Times New Roman"/>
          <w:szCs w:val="20"/>
        </w:rPr>
        <w:t xml:space="preserve"> replaced with a reference to RRC-configured TCI state pool(s) in a reference BWP/CC as a new way in Rel-17.</w:t>
      </w:r>
    </w:p>
    <w:p w:rsidR="00831E81" w:rsidP="007C3893" w:rsidRDefault="00831E81" w14:paraId="41764BBA" w14:textId="1CE12AC7">
      <w:r w:rsidRPr="004017B6">
        <w:t>Once a reference CC is determined, then the TCI switching delay can be applicable based</w:t>
      </w:r>
      <w:r>
        <w:t xml:space="preserve"> on this reference CC in the CA case.  </w:t>
      </w:r>
      <w:r w:rsidR="003922ED">
        <w:t>In our understanding</w:t>
      </w:r>
      <w:r>
        <w:t xml:space="preserve">, this does not change TCI switching delay, but </w:t>
      </w:r>
      <w:r w:rsidR="003922ED">
        <w:t>mainly</w:t>
      </w:r>
      <w:r>
        <w:t xml:space="preserve"> about selection of reference CC.</w:t>
      </w:r>
    </w:p>
    <w:p w:rsidR="00831E81" w:rsidP="007C3893" w:rsidRDefault="00831E81" w14:paraId="1E6F3241" w14:textId="0532DF3A">
      <w:r w:rsidRPr="004017B6">
        <w:rPr>
          <w:b/>
          <w:bCs/>
        </w:rPr>
        <w:lastRenderedPageBreak/>
        <w:t xml:space="preserve">Proposal </w:t>
      </w:r>
      <w:proofErr w:type="gramStart"/>
      <w:r w:rsidRPr="004017B6" w:rsidR="009A264D">
        <w:rPr>
          <w:b/>
          <w:bCs/>
        </w:rPr>
        <w:t xml:space="preserve">8 </w:t>
      </w:r>
      <w:r w:rsidRPr="004017B6">
        <w:rPr>
          <w:b/>
          <w:bCs/>
        </w:rPr>
        <w:t>:</w:t>
      </w:r>
      <w:proofErr w:type="gramEnd"/>
      <w:r>
        <w:t xml:space="preserve"> No need to define additional requirement on </w:t>
      </w:r>
      <w:r w:rsidRPr="00831E81">
        <w:t>TCI switching delay requirement in CA case</w:t>
      </w:r>
      <w:r>
        <w:t xml:space="preserve">. </w:t>
      </w:r>
    </w:p>
    <w:p w:rsidR="00831E81" w:rsidP="007C3893" w:rsidRDefault="00831E81" w14:paraId="36688D34" w14:textId="0BAA59C3">
      <w:r w:rsidRPr="004017B6">
        <w:rPr>
          <w:b/>
          <w:bCs/>
        </w:rPr>
        <w:t xml:space="preserve">Proposal </w:t>
      </w:r>
      <w:proofErr w:type="gramStart"/>
      <w:r w:rsidRPr="004017B6" w:rsidR="009A264D">
        <w:rPr>
          <w:b/>
          <w:bCs/>
        </w:rPr>
        <w:t xml:space="preserve">9 </w:t>
      </w:r>
      <w:r w:rsidRPr="004017B6">
        <w:rPr>
          <w:b/>
          <w:bCs/>
        </w:rPr>
        <w:t>:</w:t>
      </w:r>
      <w:proofErr w:type="gramEnd"/>
      <w:r>
        <w:t xml:space="preserve"> RAN4 may take a note in the spec</w:t>
      </w:r>
      <w:r w:rsidR="00F332F4">
        <w:t xml:space="preserve"> for </w:t>
      </w:r>
      <w:r w:rsidRPr="00F332F4" w:rsidR="00F332F4">
        <w:t>TCI switching delay requirement in CA case</w:t>
      </w:r>
      <w:r>
        <w:t xml:space="preserve"> :</w:t>
      </w:r>
    </w:p>
    <w:p w:rsidRPr="003922ED" w:rsidR="00831E81" w:rsidP="003922ED" w:rsidRDefault="00831E81" w14:paraId="678448AB" w14:textId="2B35531B">
      <w:pPr>
        <w:pStyle w:val="ListParagraph"/>
        <w:numPr>
          <w:ilvl w:val="0"/>
          <w:numId w:val="38"/>
        </w:numPr>
        <w:rPr>
          <w:i/>
          <w:iCs/>
        </w:rPr>
      </w:pPr>
      <w:r w:rsidRPr="003922ED">
        <w:rPr>
          <w:i/>
          <w:iCs/>
        </w:rPr>
        <w:t>The requirements of Rel-17 unified TCI switching delay are applicable to CA cases based on the rule of reference BWP/CC selection in TS38.214.</w:t>
      </w:r>
    </w:p>
    <w:p w:rsidR="00831E81" w:rsidP="007C3893" w:rsidRDefault="00831E81" w14:paraId="5FA4A66B" w14:textId="77777777"/>
    <w:p w:rsidRPr="007C3893" w:rsidR="007C3893" w:rsidP="007C3893" w:rsidRDefault="007C3893" w14:paraId="3F7AA54B" w14:textId="39DD141C">
      <w:pPr>
        <w:pStyle w:val="RAN4H2"/>
        <w:numPr>
          <w:ilvl w:val="1"/>
          <w:numId w:val="35"/>
        </w:numPr>
        <w:ind w:left="720" w:hanging="720"/>
        <w:rPr>
          <w:sz w:val="28"/>
          <w:szCs w:val="28"/>
        </w:rPr>
      </w:pPr>
      <w:r>
        <w:rPr>
          <w:sz w:val="28"/>
          <w:szCs w:val="28"/>
        </w:rPr>
        <w:t>Other TCI related</w:t>
      </w:r>
      <w:r w:rsidRPr="007C3893">
        <w:rPr>
          <w:sz w:val="28"/>
          <w:szCs w:val="28"/>
        </w:rPr>
        <w:t xml:space="preserve"> </w:t>
      </w:r>
      <w:r w:rsidR="00B71072">
        <w:rPr>
          <w:sz w:val="28"/>
          <w:szCs w:val="28"/>
        </w:rPr>
        <w:t>r</w:t>
      </w:r>
      <w:r w:rsidRPr="007C3893">
        <w:rPr>
          <w:sz w:val="28"/>
          <w:szCs w:val="28"/>
        </w:rPr>
        <w:t>emaining issues</w:t>
      </w:r>
      <w:r>
        <w:rPr>
          <w:sz w:val="28"/>
          <w:szCs w:val="28"/>
        </w:rPr>
        <w:t xml:space="preserve"> </w:t>
      </w:r>
      <w:r w:rsidRPr="007C3893">
        <w:rPr>
          <w:sz w:val="28"/>
          <w:szCs w:val="28"/>
        </w:rPr>
        <w:t xml:space="preserve"> </w:t>
      </w:r>
    </w:p>
    <w:p w:rsidR="00B95506" w:rsidP="007C3893" w:rsidRDefault="00B95506" w14:paraId="2069180C" w14:textId="77777777"/>
    <w:p w:rsidR="007C3893" w:rsidP="007C3893" w:rsidRDefault="00B95506" w14:paraId="5F23F86C" w14:textId="707700DD">
      <w:r>
        <w:t xml:space="preserve">RAN4 is discussing conditions that </w:t>
      </w:r>
      <w:r w:rsidRPr="00B95506">
        <w:t>TCI switching delay does not have difference for a serving cell and a cell with PCI different from a serving cell.</w:t>
      </w:r>
    </w:p>
    <w:tbl>
      <w:tblPr>
        <w:tblStyle w:val="TableGrid"/>
        <w:tblW w:w="0" w:type="auto"/>
        <w:tblLook w:val="04A0" w:firstRow="1" w:lastRow="0" w:firstColumn="1" w:lastColumn="0" w:noHBand="0" w:noVBand="1"/>
      </w:tblPr>
      <w:tblGrid>
        <w:gridCol w:w="9062"/>
      </w:tblGrid>
      <w:tr w:rsidR="00B95506" w:rsidTr="00B95506" w14:paraId="767D4A96" w14:textId="77777777">
        <w:tc>
          <w:tcPr>
            <w:tcW w:w="9062" w:type="dxa"/>
          </w:tcPr>
          <w:p w:rsidRPr="00862B30" w:rsidR="00B95506" w:rsidP="00B95506" w:rsidRDefault="00B95506" w14:paraId="27319FC6" w14:textId="77777777">
            <w:pPr>
              <w:pStyle w:val="ListParagraph"/>
              <w:numPr>
                <w:ilvl w:val="0"/>
                <w:numId w:val="16"/>
              </w:numPr>
              <w:spacing w:after="120" w:line="259" w:lineRule="auto"/>
              <w:contextualSpacing w:val="0"/>
              <w:rPr>
                <w:rFonts w:eastAsia="Times New Roman"/>
                <w:bCs/>
                <w:szCs w:val="21"/>
              </w:rPr>
            </w:pPr>
            <w:r w:rsidRPr="00862B30">
              <w:rPr>
                <w:rFonts w:eastAsia="Times New Roman"/>
                <w:bCs/>
                <w:szCs w:val="21"/>
              </w:rPr>
              <w:t xml:space="preserve">MAC-CE </w:t>
            </w:r>
            <w:proofErr w:type="gramStart"/>
            <w:r w:rsidRPr="00862B30">
              <w:rPr>
                <w:rFonts w:eastAsia="Times New Roman"/>
                <w:bCs/>
                <w:szCs w:val="21"/>
              </w:rPr>
              <w:t>based</w:t>
            </w:r>
            <w:proofErr w:type="gramEnd"/>
            <w:r w:rsidRPr="00862B30">
              <w:rPr>
                <w:rFonts w:eastAsia="Times New Roman"/>
                <w:bCs/>
                <w:szCs w:val="21"/>
              </w:rPr>
              <w:t xml:space="preserve"> and DCI based TCI switching delay does not have difference for a serving cell and a cell with PCI different from a serving cell based on the following conditions. </w:t>
            </w:r>
          </w:p>
          <w:p w:rsidRPr="00862B30" w:rsidR="00B95506" w:rsidP="00B95506" w:rsidRDefault="00B95506" w14:paraId="35CB294D" w14:textId="77777777">
            <w:pPr>
              <w:pStyle w:val="ListParagraph"/>
              <w:numPr>
                <w:ilvl w:val="1"/>
                <w:numId w:val="16"/>
              </w:numPr>
              <w:spacing w:after="120" w:line="259" w:lineRule="auto"/>
              <w:contextualSpacing w:val="0"/>
            </w:pPr>
            <w:r w:rsidRPr="00862B30">
              <w:rPr>
                <w:rFonts w:eastAsia="Yu Mincho"/>
                <w:bCs/>
                <w:lang w:eastAsia="ja-JP"/>
              </w:rPr>
              <w:t xml:space="preserve">Active BWP of cell with different PCI shall be within active BWP of serving cell </w:t>
            </w:r>
          </w:p>
          <w:p w:rsidRPr="00862B30" w:rsidR="00B95506" w:rsidP="00B95506" w:rsidRDefault="00B95506" w14:paraId="4DFC358E" w14:textId="77777777">
            <w:pPr>
              <w:pStyle w:val="ListParagraph"/>
              <w:numPr>
                <w:ilvl w:val="1"/>
                <w:numId w:val="16"/>
              </w:numPr>
              <w:spacing w:after="120" w:line="259" w:lineRule="auto"/>
              <w:contextualSpacing w:val="0"/>
            </w:pPr>
            <w:r w:rsidRPr="00862B30">
              <w:rPr>
                <w:rFonts w:eastAsia="Yu Mincho"/>
                <w:bCs/>
                <w:lang w:eastAsia="ja-JP"/>
              </w:rPr>
              <w:t>SCS between cell with different PCI and serving cell shall the same</w:t>
            </w:r>
            <w:r w:rsidRPr="00862B30">
              <w:t xml:space="preserve"> </w:t>
            </w:r>
          </w:p>
          <w:p w:rsidRPr="00862B30" w:rsidR="00B95506" w:rsidP="00B95506" w:rsidRDefault="00B95506" w14:paraId="5F9F6678" w14:textId="77777777">
            <w:pPr>
              <w:pStyle w:val="ListParagraph"/>
              <w:numPr>
                <w:ilvl w:val="1"/>
                <w:numId w:val="16"/>
              </w:numPr>
              <w:spacing w:after="120" w:line="259" w:lineRule="auto"/>
              <w:contextualSpacing w:val="0"/>
            </w:pPr>
            <w:r w:rsidRPr="00862B30">
              <w:rPr>
                <w:rFonts w:eastAsia="Yu Mincho"/>
                <w:bCs/>
                <w:lang w:eastAsia="ja-JP"/>
              </w:rPr>
              <w:t>Timing offset between SC and NSC are within CP</w:t>
            </w:r>
            <w:r w:rsidRPr="00862B30">
              <w:t xml:space="preserve"> </w:t>
            </w:r>
          </w:p>
          <w:p w:rsidR="00B95506" w:rsidP="007C3893" w:rsidRDefault="00B95506" w14:paraId="6E240268" w14:textId="77777777"/>
        </w:tc>
      </w:tr>
    </w:tbl>
    <w:p w:rsidR="00B95506" w:rsidP="007C3893" w:rsidRDefault="00B95506" w14:paraId="4EFDFCDE" w14:textId="77777777"/>
    <w:p w:rsidR="007C3893" w:rsidP="007C3893" w:rsidRDefault="00B95506" w14:paraId="01FE40B2" w14:textId="088B2F91">
      <w:r>
        <w:t>The current condition</w:t>
      </w:r>
      <w:r w:rsidR="00533F34">
        <w:t>s</w:t>
      </w:r>
      <w:r>
        <w:t xml:space="preserve"> for the same switching delay for SC and NSC are understandable, we wonder if cases are considered with different TCI switching time </w:t>
      </w:r>
      <w:r w:rsidRPr="00B95506">
        <w:t>for a serving cell and a cell with PCI different from a serving cell</w:t>
      </w:r>
      <w:r>
        <w:t xml:space="preserve">. Maybe the current discussion will be continued to Rel-18 with more case studies. </w:t>
      </w:r>
      <w:r w:rsidR="00533F34">
        <w:t>For example, if SC and NSC time difference is larger than CP length, a UE will not switch the TCI state? We understand that the requirement is not applied.</w:t>
      </w:r>
    </w:p>
    <w:p w:rsidR="00B95506" w:rsidP="00533F34" w:rsidRDefault="00B95506" w14:paraId="5392D481" w14:textId="14347AC3">
      <w:r w:rsidRPr="004017B6">
        <w:rPr>
          <w:b/>
          <w:bCs/>
        </w:rPr>
        <w:t xml:space="preserve">Proposal </w:t>
      </w:r>
      <w:proofErr w:type="gramStart"/>
      <w:r w:rsidRPr="004017B6" w:rsidR="009A264D">
        <w:rPr>
          <w:b/>
          <w:bCs/>
        </w:rPr>
        <w:t xml:space="preserve">10 </w:t>
      </w:r>
      <w:r w:rsidRPr="004017B6">
        <w:rPr>
          <w:b/>
          <w:bCs/>
        </w:rPr>
        <w:t>:</w:t>
      </w:r>
      <w:proofErr w:type="gramEnd"/>
      <w:r>
        <w:t xml:space="preserve"> RAN4 </w:t>
      </w:r>
      <w:r w:rsidR="00CC52EA">
        <w:t xml:space="preserve">studies further </w:t>
      </w:r>
      <w:r>
        <w:t xml:space="preserve">how to </w:t>
      </w:r>
      <w:r w:rsidR="00CC52EA">
        <w:t xml:space="preserve">handle TCI switching delay on NSC </w:t>
      </w:r>
      <w:r>
        <w:t xml:space="preserve">out of </w:t>
      </w:r>
      <w:r w:rsidR="00CC52EA">
        <w:t xml:space="preserve">the </w:t>
      </w:r>
      <w:r>
        <w:t>conditions for</w:t>
      </w:r>
      <w:r w:rsidRPr="00B95506">
        <w:t xml:space="preserve"> </w:t>
      </w:r>
      <w:r>
        <w:t>same</w:t>
      </w:r>
      <w:r w:rsidRPr="00B95506">
        <w:t xml:space="preserve"> TCI switching </w:t>
      </w:r>
      <w:r w:rsidR="00CC52EA">
        <w:t>delay assumption</w:t>
      </w:r>
      <w:r w:rsidRPr="00B95506" w:rsidR="00CC52EA">
        <w:t xml:space="preserve"> </w:t>
      </w:r>
      <w:r w:rsidR="00CC52EA">
        <w:t>between SC and NSC</w:t>
      </w:r>
      <w:r w:rsidRPr="00B95506">
        <w:t>.</w:t>
      </w:r>
      <w:r w:rsidR="00A628FE">
        <w:t xml:space="preserve"> </w:t>
      </w:r>
    </w:p>
    <w:p w:rsidR="00533F34" w:rsidP="00533F34" w:rsidRDefault="00533F34" w14:paraId="097A664C" w14:textId="77777777"/>
    <w:tbl>
      <w:tblPr>
        <w:tblStyle w:val="TableGrid"/>
        <w:tblW w:w="0" w:type="auto"/>
        <w:tblLook w:val="04A0" w:firstRow="1" w:lastRow="0" w:firstColumn="1" w:lastColumn="0" w:noHBand="0" w:noVBand="1"/>
      </w:tblPr>
      <w:tblGrid>
        <w:gridCol w:w="9062"/>
      </w:tblGrid>
      <w:tr w:rsidR="00B95506" w:rsidTr="00B95506" w14:paraId="047777B8" w14:textId="77777777">
        <w:tc>
          <w:tcPr>
            <w:tcW w:w="9062" w:type="dxa"/>
          </w:tcPr>
          <w:p w:rsidRPr="00862B30" w:rsidR="00B95506" w:rsidP="00B95506" w:rsidRDefault="00B95506" w14:paraId="395CC85F" w14:textId="77777777">
            <w:pPr>
              <w:autoSpaceDN w:val="0"/>
              <w:spacing w:after="120"/>
              <w:rPr>
                <w:rFonts w:eastAsia="MS Mincho"/>
              </w:rPr>
            </w:pPr>
            <w:r w:rsidRPr="00862B30">
              <w:rPr>
                <w:rFonts w:eastAsia="MS Mincho"/>
                <w:highlight w:val="green"/>
              </w:rPr>
              <w:t>RAN4#101b agreement</w:t>
            </w:r>
          </w:p>
          <w:p w:rsidRPr="000E412C" w:rsidR="00B95506" w:rsidP="00B95506" w:rsidRDefault="00B95506" w14:paraId="42EF4236" w14:textId="77777777"/>
          <w:p w:rsidRPr="00862B30" w:rsidR="00B95506" w:rsidP="00B95506" w:rsidRDefault="00B95506" w14:paraId="6FCBFA4A" w14:textId="77777777">
            <w:pPr>
              <w:pStyle w:val="ListParagraph"/>
              <w:numPr>
                <w:ilvl w:val="0"/>
                <w:numId w:val="16"/>
              </w:numPr>
              <w:spacing w:after="120"/>
              <w:contextualSpacing w:val="0"/>
            </w:pPr>
            <w:r w:rsidRPr="00862B30">
              <w:rPr>
                <w:lang w:eastAsia="zh-CN"/>
              </w:rPr>
              <w:t>It is common understanding that TCI state switching delay requirement can be defined for UL TCI and DL TCI switching respectively</w:t>
            </w:r>
            <w:r w:rsidRPr="00862B30">
              <w:t xml:space="preserve"> </w:t>
            </w:r>
          </w:p>
          <w:p w:rsidRPr="00862B30" w:rsidR="00B95506" w:rsidP="00B95506" w:rsidRDefault="00B95506" w14:paraId="7F4DDF91" w14:textId="77777777">
            <w:pPr>
              <w:pStyle w:val="ListParagraph"/>
              <w:numPr>
                <w:ilvl w:val="0"/>
                <w:numId w:val="16"/>
              </w:numPr>
              <w:spacing w:after="120"/>
              <w:contextualSpacing w:val="0"/>
            </w:pPr>
            <w:r w:rsidRPr="00862B30">
              <w:t xml:space="preserve">RAN4 will further study if MAC-CE based TCI state-pair indication requirement will be specified </w:t>
            </w:r>
          </w:p>
          <w:p w:rsidR="00B95506" w:rsidP="007C3893" w:rsidRDefault="00B95506" w14:paraId="7119C3BF" w14:textId="77777777"/>
        </w:tc>
      </w:tr>
    </w:tbl>
    <w:p w:rsidR="00B95506" w:rsidP="007C3893" w:rsidRDefault="00B95506" w14:paraId="7A0A193C" w14:textId="43A34CDC"/>
    <w:p w:rsidRPr="00862B30" w:rsidR="007C3893" w:rsidP="007C3893" w:rsidRDefault="00B95506" w14:paraId="0070058C" w14:textId="7547E6D5">
      <w:r>
        <w:t xml:space="preserve">We think that joint TCI and sperate </w:t>
      </w:r>
      <w:r w:rsidRPr="00862B30">
        <w:rPr>
          <w:lang w:eastAsia="zh-CN"/>
        </w:rPr>
        <w:t>TCI state switching delay requirement</w:t>
      </w:r>
      <w:r>
        <w:rPr>
          <w:lang w:eastAsia="zh-CN"/>
        </w:rPr>
        <w:t>s</w:t>
      </w:r>
      <w:r w:rsidRPr="00862B30">
        <w:rPr>
          <w:lang w:eastAsia="zh-CN"/>
        </w:rPr>
        <w:t xml:space="preserve"> can be defined </w:t>
      </w:r>
      <w:r>
        <w:rPr>
          <w:lang w:eastAsia="zh-CN"/>
        </w:rPr>
        <w:t>with</w:t>
      </w:r>
      <w:r w:rsidRPr="00862B30">
        <w:rPr>
          <w:lang w:eastAsia="zh-CN"/>
        </w:rPr>
        <w:t xml:space="preserve"> UL TCI and DL TCI switching</w:t>
      </w:r>
      <w:r>
        <w:rPr>
          <w:lang w:eastAsia="zh-CN"/>
        </w:rPr>
        <w:t xml:space="preserve">. But RAN4 can further discuss if UE implementation is impacted when </w:t>
      </w:r>
      <w:r w:rsidR="00F84160">
        <w:rPr>
          <w:lang w:eastAsia="zh-CN"/>
        </w:rPr>
        <w:t xml:space="preserve">DL and UL switching are indicated for switching at the same time. We assume joint TCI (DL+UL) and a </w:t>
      </w:r>
      <w:r w:rsidRPr="00862B30" w:rsidR="00F84160">
        <w:t xml:space="preserve">pair </w:t>
      </w:r>
      <w:r w:rsidR="00F84160">
        <w:t xml:space="preserve">of DL+UL separate TCI </w:t>
      </w:r>
      <w:r w:rsidRPr="00862B30" w:rsidR="00F84160">
        <w:t>indication</w:t>
      </w:r>
      <w:r w:rsidR="00F84160">
        <w:t xml:space="preserve">s are identical w.r.t TCI switching delay. </w:t>
      </w:r>
      <w:r w:rsidR="00F84160">
        <w:rPr>
          <w:lang w:eastAsia="zh-CN"/>
        </w:rPr>
        <w:t xml:space="preserve">We don’t see good reason to define </w:t>
      </w:r>
      <w:r w:rsidRPr="00F84160" w:rsidR="00F84160">
        <w:rPr>
          <w:lang w:eastAsia="zh-CN"/>
        </w:rPr>
        <w:t>TCI state-pair indication requirement</w:t>
      </w:r>
      <w:r w:rsidR="00F84160">
        <w:rPr>
          <w:lang w:eastAsia="zh-CN"/>
        </w:rPr>
        <w:t xml:space="preserve"> separately, but we can further discuss to understand UE behaviors if needed.</w:t>
      </w:r>
    </w:p>
    <w:p w:rsidR="007C3893" w:rsidP="003E6400" w:rsidRDefault="00F84160" w14:paraId="16A6B896" w14:textId="52EF431D">
      <w:pPr>
        <w:ind w:right="-22"/>
        <w:rPr>
          <w:rFonts w:eastAsia="Calibri" w:cs="Times New Roman"/>
          <w:szCs w:val="20"/>
        </w:rPr>
      </w:pPr>
      <w:r w:rsidRPr="004017B6">
        <w:rPr>
          <w:b/>
          <w:bCs/>
          <w:lang w:eastAsia="zh-CN"/>
        </w:rPr>
        <w:t xml:space="preserve">Proposal </w:t>
      </w:r>
      <w:proofErr w:type="gramStart"/>
      <w:r w:rsidRPr="004017B6" w:rsidR="009A264D">
        <w:rPr>
          <w:b/>
          <w:bCs/>
          <w:lang w:eastAsia="zh-CN"/>
        </w:rPr>
        <w:t xml:space="preserve">11 </w:t>
      </w:r>
      <w:r w:rsidRPr="004017B6">
        <w:rPr>
          <w:b/>
          <w:bCs/>
          <w:lang w:eastAsia="zh-CN"/>
        </w:rPr>
        <w:t>:</w:t>
      </w:r>
      <w:proofErr w:type="gramEnd"/>
      <w:r>
        <w:rPr>
          <w:lang w:eastAsia="zh-CN"/>
        </w:rPr>
        <w:t xml:space="preserve"> Rel-17 unified </w:t>
      </w:r>
      <w:r w:rsidRPr="00862B30" w:rsidR="00B95506">
        <w:rPr>
          <w:lang w:eastAsia="zh-CN"/>
        </w:rPr>
        <w:t xml:space="preserve">TCI switching delay requirement </w:t>
      </w:r>
      <w:r w:rsidR="00CC52EA">
        <w:rPr>
          <w:lang w:eastAsia="zh-CN"/>
        </w:rPr>
        <w:t>are</w:t>
      </w:r>
      <w:r w:rsidRPr="00862B30" w:rsidR="00B95506">
        <w:rPr>
          <w:lang w:eastAsia="zh-CN"/>
        </w:rPr>
        <w:t xml:space="preserve"> defined </w:t>
      </w:r>
      <w:r>
        <w:rPr>
          <w:lang w:eastAsia="zh-CN"/>
        </w:rPr>
        <w:t>by</w:t>
      </w:r>
      <w:r w:rsidRPr="00862B30" w:rsidR="00B95506">
        <w:rPr>
          <w:lang w:eastAsia="zh-CN"/>
        </w:rPr>
        <w:t xml:space="preserve"> UL</w:t>
      </w:r>
      <w:r>
        <w:rPr>
          <w:lang w:eastAsia="zh-CN"/>
        </w:rPr>
        <w:t>-</w:t>
      </w:r>
      <w:r w:rsidRPr="00862B30" w:rsidR="00B95506">
        <w:rPr>
          <w:lang w:eastAsia="zh-CN"/>
        </w:rPr>
        <w:t>TCI and DL</w:t>
      </w:r>
      <w:r>
        <w:rPr>
          <w:lang w:eastAsia="zh-CN"/>
        </w:rPr>
        <w:t>-</w:t>
      </w:r>
      <w:r w:rsidRPr="00862B30" w:rsidR="00B95506">
        <w:rPr>
          <w:lang w:eastAsia="zh-CN"/>
        </w:rPr>
        <w:t>TCI switching</w:t>
      </w:r>
      <w:r>
        <w:rPr>
          <w:lang w:eastAsia="zh-CN"/>
        </w:rPr>
        <w:t xml:space="preserve"> requirements. We don’t see reason to define </w:t>
      </w:r>
      <w:r w:rsidRPr="00F84160">
        <w:rPr>
          <w:lang w:eastAsia="zh-CN"/>
        </w:rPr>
        <w:t>TCI state-pair indication requirement</w:t>
      </w:r>
      <w:r>
        <w:rPr>
          <w:lang w:eastAsia="zh-CN"/>
        </w:rPr>
        <w:t xml:space="preserve"> separately.</w:t>
      </w:r>
    </w:p>
    <w:p w:rsidR="007C3893" w:rsidP="003E6400" w:rsidRDefault="007C3893" w14:paraId="098A6268" w14:textId="1CEDE6B5">
      <w:pPr>
        <w:ind w:right="-22"/>
        <w:rPr>
          <w:rFonts w:eastAsia="Calibri" w:cs="Times New Roman"/>
          <w:szCs w:val="20"/>
        </w:rPr>
      </w:pPr>
    </w:p>
    <w:p w:rsidRPr="00862B30" w:rsidR="007C3893" w:rsidP="003E6400" w:rsidRDefault="007C3893" w14:paraId="6DB866B2" w14:textId="77777777">
      <w:pPr>
        <w:ind w:right="-22"/>
        <w:rPr>
          <w:rFonts w:eastAsia="Calibri" w:cs="Times New Roman"/>
          <w:szCs w:val="20"/>
        </w:rPr>
      </w:pPr>
    </w:p>
    <w:p w:rsidRPr="00862B30" w:rsidR="008D3B00" w:rsidP="008D3B00" w:rsidRDefault="008D3B00" w14:paraId="48AF19C3" w14:textId="31C1FF14">
      <w:pPr>
        <w:pStyle w:val="RAN4H1"/>
        <w:rPr>
          <w:lang w:val="en-US"/>
        </w:rPr>
      </w:pPr>
      <w:r w:rsidRPr="00862B30">
        <w:rPr>
          <w:lang w:val="en-US"/>
        </w:rPr>
        <w:lastRenderedPageBreak/>
        <w:t>Conclusion</w:t>
      </w:r>
    </w:p>
    <w:p w:rsidR="00EE4133" w:rsidP="00084AFD" w:rsidRDefault="00E54063" w14:paraId="17B14989" w14:textId="40D34E9C">
      <w:r w:rsidRPr="00862B30">
        <w:t xml:space="preserve">In this contribution, we provide our observations and proposals on requirements of </w:t>
      </w:r>
      <w:r w:rsidR="00DC2A0A">
        <w:t xml:space="preserve">TCI switching delay under </w:t>
      </w:r>
      <w:r w:rsidRPr="00862B30">
        <w:t xml:space="preserve">unified TCI </w:t>
      </w:r>
      <w:r w:rsidR="00DC2A0A">
        <w:t>framework.</w:t>
      </w:r>
    </w:p>
    <w:p w:rsidRPr="00862B30" w:rsidR="009A264D" w:rsidP="009A264D" w:rsidRDefault="009A264D" w14:paraId="3AEDCC4C" w14:textId="77777777">
      <w:r w:rsidRPr="004017B6">
        <w:rPr>
          <w:b/>
          <w:bCs/>
        </w:rPr>
        <w:t xml:space="preserve">Observation </w:t>
      </w:r>
      <w:proofErr w:type="gramStart"/>
      <w:r w:rsidRPr="004017B6">
        <w:rPr>
          <w:b/>
          <w:bCs/>
        </w:rPr>
        <w:t>1 :</w:t>
      </w:r>
      <w:proofErr w:type="gramEnd"/>
      <w:r>
        <w:t xml:space="preserve"> RAN1 has considered beam alignment definition that PL-RS and source RS in UL or joint TCI is QCL-Type D, but it is under FFS.</w:t>
      </w:r>
    </w:p>
    <w:p w:rsidRPr="00862B30" w:rsidR="00DC2A0A" w:rsidP="00084AFD" w:rsidRDefault="009A264D" w14:paraId="7A2EF827" w14:textId="2A271899">
      <w:r w:rsidRPr="004017B6">
        <w:rPr>
          <w:b/>
          <w:bCs/>
        </w:rPr>
        <w:t xml:space="preserve">Proposal </w:t>
      </w:r>
      <w:proofErr w:type="gramStart"/>
      <w:r w:rsidRPr="004017B6">
        <w:rPr>
          <w:b/>
          <w:bCs/>
        </w:rPr>
        <w:t>1 :</w:t>
      </w:r>
      <w:proofErr w:type="gramEnd"/>
      <w:r w:rsidRPr="00862B30">
        <w:t xml:space="preserve"> Beam alignment definition </w:t>
      </w:r>
      <w:r>
        <w:t xml:space="preserve">should </w:t>
      </w:r>
      <w:r w:rsidRPr="00862B30">
        <w:t xml:space="preserve">include the case that PL-RS and source RS in UL or joint TCI </w:t>
      </w:r>
      <w:r>
        <w:t>are</w:t>
      </w:r>
      <w:r w:rsidRPr="00862B30">
        <w:t xml:space="preserve"> </w:t>
      </w:r>
      <w:proofErr w:type="spellStart"/>
      <w:r w:rsidRPr="00862B30">
        <w:t>QCL</w:t>
      </w:r>
      <w:r>
        <w:t>ed</w:t>
      </w:r>
      <w:proofErr w:type="spellEnd"/>
      <w:r>
        <w:t xml:space="preserve"> by QCL-</w:t>
      </w:r>
      <w:r w:rsidRPr="00862B30">
        <w:t xml:space="preserve">Type D. </w:t>
      </w:r>
      <w:r>
        <w:t xml:space="preserve">  </w:t>
      </w:r>
    </w:p>
    <w:p w:rsidR="00E54063" w:rsidP="00084AFD" w:rsidRDefault="009A264D" w14:paraId="1F1CA7AD" w14:textId="4FA7AD91">
      <w:r w:rsidRPr="00D03764">
        <w:rPr>
          <w:b/>
          <w:bCs/>
        </w:rPr>
        <w:t xml:space="preserve">Proposal </w:t>
      </w:r>
      <w:proofErr w:type="gramStart"/>
      <w:r w:rsidRPr="00D03764">
        <w:rPr>
          <w:b/>
          <w:bCs/>
        </w:rPr>
        <w:t>2 :</w:t>
      </w:r>
      <w:proofErr w:type="gramEnd"/>
      <w:r>
        <w:t xml:space="preserve"> We propose to apply </w:t>
      </w:r>
      <w:r w:rsidRPr="00D03764">
        <w:t>the known state</w:t>
      </w:r>
      <w:r>
        <w:t xml:space="preserve"> UL-</w:t>
      </w:r>
      <w:r w:rsidRPr="00D03764">
        <w:t xml:space="preserve">TCI </w:t>
      </w:r>
      <w:r>
        <w:t xml:space="preserve">switching requirement for PL-RS switching delay when PL-RS is identical to the source RS in UL/Joint-TCI </w:t>
      </w:r>
      <w:r w:rsidRPr="00D03764">
        <w:rPr>
          <w:b/>
          <w:bCs/>
        </w:rPr>
        <w:t xml:space="preserve">AND </w:t>
      </w:r>
      <w:r>
        <w:rPr>
          <w:b/>
          <w:bCs/>
        </w:rPr>
        <w:t xml:space="preserve"> </w:t>
      </w:r>
      <w:r>
        <w:t>when the target PL-RS is known.</w:t>
      </w:r>
    </w:p>
    <w:p w:rsidR="009A264D" w:rsidP="009A264D" w:rsidRDefault="009A264D" w14:paraId="000AD6D0" w14:textId="2CEE5E62">
      <w:r w:rsidRPr="00D03764">
        <w:rPr>
          <w:b/>
          <w:bCs/>
        </w:rPr>
        <w:t xml:space="preserve">Proposal </w:t>
      </w:r>
      <w:proofErr w:type="gramStart"/>
      <w:r w:rsidRPr="00D03764">
        <w:rPr>
          <w:b/>
          <w:bCs/>
        </w:rPr>
        <w:t>3 :</w:t>
      </w:r>
      <w:proofErr w:type="gramEnd"/>
      <w:r>
        <w:t xml:space="preserve"> We propose not to define PL-RS switching delay requirement when PL-RS is identical to the source RS in UL/Joint-TCI  </w:t>
      </w:r>
      <w:r w:rsidRPr="00D03764">
        <w:rPr>
          <w:b/>
          <w:bCs/>
        </w:rPr>
        <w:t>AND</w:t>
      </w:r>
      <w:r>
        <w:t xml:space="preserve">  when the target PL-RS is unknown.</w:t>
      </w:r>
      <w:r>
        <w:br/>
      </w:r>
      <w:r>
        <w:tab/>
      </w:r>
      <w:r>
        <w:t>- B</w:t>
      </w:r>
      <w:r w:rsidRPr="003278B1">
        <w:t xml:space="preserve">oth the source RS in the UL-TCI and the target PL-RS are </w:t>
      </w:r>
      <w:r>
        <w:t xml:space="preserve">assumed </w:t>
      </w:r>
      <w:r w:rsidRPr="003278B1">
        <w:t>unknown</w:t>
      </w:r>
      <w:r>
        <w:t xml:space="preserve"> as consequence</w:t>
      </w:r>
    </w:p>
    <w:p w:rsidR="009A264D" w:rsidP="009A264D" w:rsidRDefault="009A264D" w14:paraId="5FC8E7E5" w14:textId="4CAE9DB4">
      <w:r w:rsidRPr="00D03764">
        <w:rPr>
          <w:b/>
          <w:bCs/>
        </w:rPr>
        <w:t xml:space="preserve">Proposal </w:t>
      </w:r>
      <w:proofErr w:type="gramStart"/>
      <w:r w:rsidRPr="00D03764">
        <w:rPr>
          <w:b/>
          <w:bCs/>
        </w:rPr>
        <w:t>4 :</w:t>
      </w:r>
      <w:proofErr w:type="gramEnd"/>
      <w:r w:rsidRPr="00D03764">
        <w:rPr>
          <w:b/>
          <w:bCs/>
        </w:rPr>
        <w:t xml:space="preserve"> </w:t>
      </w:r>
      <w:r>
        <w:t xml:space="preserve">Reuse MAC-CE based UL-TCI switching delay requirement of </w:t>
      </w:r>
      <w:r w:rsidRPr="00D03764">
        <w:t xml:space="preserve">known UL target TCI state when PL-RS and source RS in UL or joint TCI is </w:t>
      </w:r>
      <w:proofErr w:type="spellStart"/>
      <w:r w:rsidRPr="00D03764">
        <w:t>QCLed</w:t>
      </w:r>
      <w:proofErr w:type="spellEnd"/>
      <w:r w:rsidRPr="00D03764">
        <w:t xml:space="preserve"> by Type-D  </w:t>
      </w:r>
      <w:r w:rsidRPr="00D03764">
        <w:rPr>
          <w:b/>
          <w:bCs/>
        </w:rPr>
        <w:t>AND</w:t>
      </w:r>
      <w:r w:rsidRPr="00D03764">
        <w:t xml:space="preserve"> </w:t>
      </w:r>
      <w:r w:rsidRPr="00D03764">
        <w:rPr>
          <w:rFonts w:hint="eastAsia" w:eastAsiaTheme="minorEastAsia"/>
          <w:lang w:eastAsia="ko-KR"/>
        </w:rPr>
        <w:t xml:space="preserve"> </w:t>
      </w:r>
      <w:r w:rsidRPr="00D03764">
        <w:t>when both the UL-TCI state and the target PL-RS are known</w:t>
      </w:r>
      <w:r w:rsidRPr="00D03764" w:rsidDel="00D70F80">
        <w:t xml:space="preserve"> </w:t>
      </w:r>
      <w:r w:rsidRPr="00D03764">
        <w:t>.</w:t>
      </w:r>
    </w:p>
    <w:p w:rsidRPr="004017B6" w:rsidR="009A264D" w:rsidP="009A264D" w:rsidRDefault="009A264D" w14:paraId="460BE722" w14:textId="77777777">
      <w:pPr>
        <w:rPr>
          <w:rFonts w:eastAsiaTheme="minorEastAsia"/>
          <w:lang w:eastAsia="ko-KR"/>
        </w:rPr>
      </w:pPr>
      <w:r w:rsidRPr="00D03764">
        <w:rPr>
          <w:b/>
          <w:bCs/>
        </w:rPr>
        <w:t xml:space="preserve">Proposal </w:t>
      </w:r>
      <w:proofErr w:type="gramStart"/>
      <w:r w:rsidRPr="00D03764">
        <w:rPr>
          <w:b/>
          <w:bCs/>
        </w:rPr>
        <w:t>5 :</w:t>
      </w:r>
      <w:proofErr w:type="gramEnd"/>
      <w:r>
        <w:t xml:space="preserve"> R</w:t>
      </w:r>
      <w:r w:rsidRPr="00A505B6">
        <w:t xml:space="preserve">euse MAC-CE based UL TCI </w:t>
      </w:r>
      <w:r w:rsidRPr="004017B6">
        <w:t xml:space="preserve">switching delay requirement of known UL target TCI state,  when PL-RS and source RS in UL or joint TCI is </w:t>
      </w:r>
      <w:proofErr w:type="spellStart"/>
      <w:r w:rsidRPr="004017B6">
        <w:t>QCLed</w:t>
      </w:r>
      <w:proofErr w:type="spellEnd"/>
      <w:r w:rsidRPr="004017B6">
        <w:t xml:space="preserve"> by QCL-Type-D  </w:t>
      </w:r>
      <w:r w:rsidRPr="004017B6">
        <w:rPr>
          <w:b/>
          <w:bCs/>
        </w:rPr>
        <w:t>AND</w:t>
      </w:r>
      <w:r w:rsidRPr="004017B6">
        <w:t xml:space="preserve"> </w:t>
      </w:r>
      <w:r w:rsidRPr="004017B6">
        <w:rPr>
          <w:rFonts w:hint="eastAsia" w:eastAsiaTheme="minorEastAsia"/>
          <w:lang w:eastAsia="ko-KR"/>
        </w:rPr>
        <w:t xml:space="preserve"> </w:t>
      </w:r>
    </w:p>
    <w:p w:rsidRPr="004017B6" w:rsidR="009A264D" w:rsidP="009A264D" w:rsidRDefault="009A264D" w14:paraId="51AEE9C7" w14:textId="77777777">
      <w:pPr>
        <w:pStyle w:val="ListParagraph"/>
        <w:numPr>
          <w:ilvl w:val="0"/>
          <w:numId w:val="42"/>
        </w:numPr>
      </w:pPr>
      <w:r w:rsidRPr="004017B6">
        <w:t>when the UL target TCI state is unknown but</w:t>
      </w:r>
      <w:r w:rsidRPr="004017B6">
        <w:rPr>
          <w:rFonts w:hint="eastAsia" w:eastAsiaTheme="minorEastAsia"/>
          <w:lang w:eastAsia="ko-KR"/>
        </w:rPr>
        <w:t xml:space="preserve"> </w:t>
      </w:r>
      <w:r w:rsidRPr="004017B6">
        <w:t>when the target pathloss reference signal is known.</w:t>
      </w:r>
    </w:p>
    <w:p w:rsidRPr="004017B6" w:rsidR="009A264D" w:rsidP="009A264D" w:rsidRDefault="009A264D" w14:paraId="3E4B5CBF" w14:textId="77777777">
      <w:pPr>
        <w:pStyle w:val="ListParagraph"/>
        <w:numPr>
          <w:ilvl w:val="0"/>
          <w:numId w:val="42"/>
        </w:numPr>
      </w:pPr>
      <w:r w:rsidRPr="004017B6">
        <w:t>when the UL target TCI state is known     but</w:t>
      </w:r>
      <w:r w:rsidRPr="004017B6">
        <w:rPr>
          <w:rFonts w:hint="eastAsia" w:eastAsiaTheme="minorEastAsia"/>
          <w:lang w:eastAsia="ko-KR"/>
        </w:rPr>
        <w:t xml:space="preserve"> </w:t>
      </w:r>
      <w:r w:rsidRPr="004017B6">
        <w:t>when the target pathloss reference signal is unknown.</w:t>
      </w:r>
    </w:p>
    <w:p w:rsidR="009A264D" w:rsidP="009A264D" w:rsidRDefault="009A264D" w14:paraId="2EC6B278" w14:textId="77777777">
      <w:pPr>
        <w:rPr>
          <w:b/>
          <w:bCs/>
        </w:rPr>
      </w:pPr>
    </w:p>
    <w:p w:rsidR="009A264D" w:rsidP="009A264D" w:rsidRDefault="009A264D" w14:paraId="00E07D95" w14:textId="7578A8AC">
      <w:r w:rsidRPr="00D03764">
        <w:rPr>
          <w:b/>
          <w:bCs/>
        </w:rPr>
        <w:t xml:space="preserve">Proposal </w:t>
      </w:r>
      <w:proofErr w:type="gramStart"/>
      <w:r w:rsidRPr="00D03764">
        <w:rPr>
          <w:b/>
          <w:bCs/>
        </w:rPr>
        <w:t>6 :</w:t>
      </w:r>
      <w:proofErr w:type="gramEnd"/>
      <w:r>
        <w:t xml:space="preserve"> Apply DCI-based UL-TCI switching delay r</w:t>
      </w:r>
      <w:r w:rsidRPr="00830A59">
        <w:t xml:space="preserve">equirement for </w:t>
      </w:r>
      <w:r>
        <w:t>DCI-based PL-RS</w:t>
      </w:r>
      <w:r w:rsidRPr="00830A59">
        <w:t xml:space="preserve"> switching </w:t>
      </w:r>
      <w:r>
        <w:t xml:space="preserve">delay </w:t>
      </w:r>
      <w:r w:rsidRPr="00830A59">
        <w:t>requirements</w:t>
      </w:r>
      <w:r>
        <w:t>, when the target pathloss reference signal is known AND when the target UL TCI state is known.</w:t>
      </w:r>
    </w:p>
    <w:p w:rsidR="009A264D" w:rsidP="009A264D" w:rsidRDefault="009A264D" w14:paraId="4B70D668" w14:textId="77777777">
      <w:pPr>
        <w:ind w:right="-22"/>
        <w:rPr>
          <w:rFonts w:eastAsia="Calibri" w:cs="Times New Roman"/>
        </w:rPr>
      </w:pPr>
      <w:r w:rsidRPr="00D03764">
        <w:rPr>
          <w:rFonts w:eastAsia="Calibri" w:cs="Times New Roman"/>
          <w:b/>
          <w:bCs/>
        </w:rPr>
        <w:t xml:space="preserve">Observation </w:t>
      </w:r>
      <w:proofErr w:type="gramStart"/>
      <w:r w:rsidRPr="00D03764">
        <w:rPr>
          <w:rFonts w:eastAsia="Calibri" w:cs="Times New Roman"/>
          <w:b/>
          <w:bCs/>
        </w:rPr>
        <w:t>2 :</w:t>
      </w:r>
      <w:proofErr w:type="gramEnd"/>
      <w:r>
        <w:rPr>
          <w:rFonts w:eastAsia="Calibri" w:cs="Times New Roman"/>
        </w:rPr>
        <w:t xml:space="preserve"> RAN1 defines </w:t>
      </w:r>
      <w:r w:rsidRPr="00A006F5">
        <w:rPr>
          <w:rFonts w:eastAsia="Calibri" w:cs="Times New Roman"/>
        </w:rPr>
        <w:t>beam application time (BAT)</w:t>
      </w:r>
      <w:r>
        <w:rPr>
          <w:rFonts w:eastAsia="Calibri" w:cs="Times New Roman"/>
        </w:rPr>
        <w:t xml:space="preserve"> for Rel-17 DL and UL TCI switching delay. The delay refers to </w:t>
      </w:r>
      <m:oMath>
        <m:r>
          <w:rPr>
            <w:rFonts w:ascii="Cambria Math" w:hAnsi="Cambria Math"/>
          </w:rPr>
          <m:t>BeamAppTime_r17</m:t>
        </m:r>
      </m:oMath>
      <w:r w:rsidRPr="004017B6">
        <w:rPr>
          <w:rFonts w:eastAsia="Calibri" w:cs="Times New Roman"/>
        </w:rPr>
        <w:t xml:space="preserve"> for</w:t>
      </w:r>
      <w:r>
        <w:rPr>
          <w:rFonts w:eastAsia="Calibri" w:cs="Times New Roman"/>
        </w:rPr>
        <w:t xml:space="preserve"> both DL and UL. </w:t>
      </w:r>
    </w:p>
    <w:p w:rsidRPr="004017B6" w:rsidR="009A264D" w:rsidP="009A264D" w:rsidRDefault="009A264D" w14:paraId="42DE43CD" w14:textId="77777777">
      <w:pPr>
        <w:ind w:right="-22"/>
        <w:rPr>
          <w:rFonts w:eastAsia="Calibri" w:cs="Times New Roman"/>
        </w:rPr>
      </w:pPr>
      <w:r w:rsidRPr="00D03764">
        <w:rPr>
          <w:rFonts w:eastAsia="Calibri" w:cs="Times New Roman"/>
          <w:b/>
          <w:bCs/>
        </w:rPr>
        <w:t xml:space="preserve">Observation </w:t>
      </w:r>
      <w:proofErr w:type="gramStart"/>
      <w:r w:rsidRPr="00D03764">
        <w:rPr>
          <w:rFonts w:eastAsia="Calibri" w:cs="Times New Roman"/>
          <w:b/>
          <w:bCs/>
        </w:rPr>
        <w:t>3 :</w:t>
      </w:r>
      <w:proofErr w:type="gramEnd"/>
      <w:r>
        <w:rPr>
          <w:rFonts w:eastAsia="Calibri" w:cs="Times New Roman"/>
        </w:rPr>
        <w:t xml:space="preserve"> Rel-16 TCI switching delay referring to </w:t>
      </w:r>
      <w:proofErr w:type="spellStart"/>
      <w:r>
        <w:rPr>
          <w:rFonts w:eastAsia="맑은 고딕"/>
          <w:i/>
          <w:iCs/>
          <w:lang w:eastAsia="zh-CN"/>
        </w:rPr>
        <w:t>timeDurationForQCL</w:t>
      </w:r>
      <w:proofErr w:type="spellEnd"/>
      <w:r>
        <w:rPr>
          <w:rFonts w:eastAsia="맑은 고딕"/>
          <w:i/>
          <w:iCs/>
          <w:lang w:eastAsia="zh-CN"/>
        </w:rPr>
        <w:t xml:space="preserve"> </w:t>
      </w:r>
      <w:r>
        <w:rPr>
          <w:rFonts w:eastAsia="맑은 고딕"/>
          <w:lang w:eastAsia="zh-CN"/>
        </w:rPr>
        <w:t xml:space="preserve">cannot be reused for Rel-17 unified TCI </w:t>
      </w:r>
      <w:r w:rsidRPr="004017B6">
        <w:rPr>
          <w:rFonts w:eastAsia="맑은 고딕"/>
          <w:lang w:eastAsia="zh-CN"/>
        </w:rPr>
        <w:t>framework.</w:t>
      </w:r>
    </w:p>
    <w:p w:rsidR="009A264D" w:rsidP="009A264D" w:rsidRDefault="009A264D" w14:paraId="5966CEA5" w14:textId="313EB1DD">
      <w:pPr>
        <w:ind w:right="-22"/>
        <w:rPr>
          <w:rFonts w:eastAsia="Calibri" w:cs="Times New Roman"/>
        </w:rPr>
      </w:pPr>
      <w:r w:rsidRPr="004017B6">
        <w:rPr>
          <w:rFonts w:eastAsia="Calibri" w:cs="Times New Roman"/>
          <w:b/>
          <w:bCs/>
        </w:rPr>
        <w:t xml:space="preserve">Proposal </w:t>
      </w:r>
      <w:proofErr w:type="gramStart"/>
      <w:r w:rsidRPr="004017B6">
        <w:rPr>
          <w:rFonts w:eastAsia="Calibri" w:cs="Times New Roman"/>
          <w:b/>
          <w:bCs/>
        </w:rPr>
        <w:t>7 :</w:t>
      </w:r>
      <w:proofErr w:type="gramEnd"/>
      <w:r w:rsidRPr="004017B6">
        <w:rPr>
          <w:rFonts w:eastAsia="Calibri" w:cs="Times New Roman"/>
        </w:rPr>
        <w:t xml:space="preserve">  Adopt DCI-based DL and UL switching requirements in Appendix 6 </w:t>
      </w:r>
    </w:p>
    <w:p w:rsidRPr="00D03764" w:rsidR="009A264D" w:rsidP="009A264D" w:rsidRDefault="009A264D" w14:paraId="11A5143B" w14:textId="77777777">
      <w:pPr>
        <w:ind w:right="-22"/>
        <w:rPr>
          <w:rFonts w:eastAsia="Calibri" w:cs="Times New Roman"/>
          <w:szCs w:val="20"/>
        </w:rPr>
      </w:pPr>
      <w:r w:rsidRPr="00D03764">
        <w:rPr>
          <w:b/>
          <w:bCs/>
          <w:color w:val="000000" w:themeColor="text1"/>
        </w:rPr>
        <w:t xml:space="preserve">Observation </w:t>
      </w:r>
      <w:proofErr w:type="gramStart"/>
      <w:r w:rsidRPr="00D03764">
        <w:rPr>
          <w:b/>
          <w:bCs/>
          <w:color w:val="000000" w:themeColor="text1"/>
        </w:rPr>
        <w:t>4 :</w:t>
      </w:r>
      <w:proofErr w:type="gramEnd"/>
      <w:r w:rsidRPr="00D03764">
        <w:rPr>
          <w:color w:val="000000" w:themeColor="text1"/>
        </w:rPr>
        <w:t xml:space="preserve"> Common cross-CC TCI update is about a reference CC for TCI switching across multiple CCs, it does not impact TCI switching delay requirements that RAN4 is currently discussing.</w:t>
      </w:r>
    </w:p>
    <w:p w:rsidR="009A264D" w:rsidP="009A264D" w:rsidRDefault="009A264D" w14:paraId="2521E0E4" w14:textId="77777777">
      <w:r w:rsidRPr="00D03764">
        <w:rPr>
          <w:b/>
          <w:bCs/>
        </w:rPr>
        <w:t xml:space="preserve">Proposal </w:t>
      </w:r>
      <w:proofErr w:type="gramStart"/>
      <w:r w:rsidRPr="00D03764">
        <w:rPr>
          <w:b/>
          <w:bCs/>
        </w:rPr>
        <w:t>8 :</w:t>
      </w:r>
      <w:proofErr w:type="gramEnd"/>
      <w:r>
        <w:t xml:space="preserve"> No need to define additional requirement on </w:t>
      </w:r>
      <w:r w:rsidRPr="00831E81">
        <w:t>TCI switching delay requirement in CA case</w:t>
      </w:r>
      <w:r>
        <w:t xml:space="preserve">. </w:t>
      </w:r>
    </w:p>
    <w:p w:rsidR="009A264D" w:rsidP="009A264D" w:rsidRDefault="009A264D" w14:paraId="1FBD4786" w14:textId="77777777">
      <w:r w:rsidRPr="00D03764">
        <w:rPr>
          <w:b/>
          <w:bCs/>
        </w:rPr>
        <w:t xml:space="preserve">Proposal </w:t>
      </w:r>
      <w:proofErr w:type="gramStart"/>
      <w:r w:rsidRPr="00D03764">
        <w:rPr>
          <w:b/>
          <w:bCs/>
        </w:rPr>
        <w:t>9 :</w:t>
      </w:r>
      <w:proofErr w:type="gramEnd"/>
      <w:r>
        <w:t xml:space="preserve"> RAN4 may take a note in the spec for </w:t>
      </w:r>
      <w:r w:rsidRPr="00F332F4">
        <w:t>TCI switching delay requirement in CA case</w:t>
      </w:r>
      <w:r>
        <w:t xml:space="preserve"> :</w:t>
      </w:r>
    </w:p>
    <w:p w:rsidRPr="003922ED" w:rsidR="009A264D" w:rsidP="009A264D" w:rsidRDefault="009A264D" w14:paraId="3B6D981A" w14:textId="77777777">
      <w:pPr>
        <w:pStyle w:val="ListParagraph"/>
        <w:numPr>
          <w:ilvl w:val="0"/>
          <w:numId w:val="38"/>
        </w:numPr>
        <w:rPr>
          <w:i/>
          <w:iCs/>
        </w:rPr>
      </w:pPr>
      <w:r w:rsidRPr="003922ED">
        <w:rPr>
          <w:i/>
          <w:iCs/>
        </w:rPr>
        <w:t>The requirements of Rel-17 unified TCI switching delay are applicable to CA cases based on the rule of reference BWP/CC selection in TS38.214.</w:t>
      </w:r>
    </w:p>
    <w:p w:rsidR="009A264D" w:rsidP="009A264D" w:rsidRDefault="009A264D" w14:paraId="4BB30870" w14:textId="77777777">
      <w:r w:rsidRPr="00D03764">
        <w:rPr>
          <w:b/>
          <w:bCs/>
        </w:rPr>
        <w:t xml:space="preserve">Proposal </w:t>
      </w:r>
      <w:proofErr w:type="gramStart"/>
      <w:r w:rsidRPr="00D03764">
        <w:rPr>
          <w:b/>
          <w:bCs/>
        </w:rPr>
        <w:t>10 :</w:t>
      </w:r>
      <w:proofErr w:type="gramEnd"/>
      <w:r>
        <w:t xml:space="preserve"> RAN4 studies further how to handle TCI switching delay on NSC out of the conditions for</w:t>
      </w:r>
      <w:r w:rsidRPr="00B95506">
        <w:t xml:space="preserve"> </w:t>
      </w:r>
      <w:r>
        <w:t>same</w:t>
      </w:r>
      <w:r w:rsidRPr="00B95506">
        <w:t xml:space="preserve"> TCI switching </w:t>
      </w:r>
      <w:r>
        <w:t>delay assumption</w:t>
      </w:r>
      <w:r w:rsidRPr="00B95506">
        <w:t xml:space="preserve"> </w:t>
      </w:r>
      <w:r>
        <w:t>between SC and NSC</w:t>
      </w:r>
      <w:r w:rsidRPr="00B95506">
        <w:t>.</w:t>
      </w:r>
      <w:r>
        <w:t xml:space="preserve"> </w:t>
      </w:r>
    </w:p>
    <w:p w:rsidR="009A264D" w:rsidP="009A264D" w:rsidRDefault="009A264D" w14:paraId="3019B47D" w14:textId="6048121F">
      <w:pPr>
        <w:ind w:right="-22"/>
        <w:rPr>
          <w:lang w:eastAsia="zh-CN"/>
        </w:rPr>
      </w:pPr>
      <w:r w:rsidRPr="00D03764">
        <w:rPr>
          <w:b/>
          <w:bCs/>
          <w:lang w:eastAsia="zh-CN"/>
        </w:rPr>
        <w:t xml:space="preserve">Proposal </w:t>
      </w:r>
      <w:proofErr w:type="gramStart"/>
      <w:r w:rsidRPr="00D03764">
        <w:rPr>
          <w:b/>
          <w:bCs/>
          <w:lang w:eastAsia="zh-CN"/>
        </w:rPr>
        <w:t>11 :</w:t>
      </w:r>
      <w:proofErr w:type="gramEnd"/>
      <w:r>
        <w:rPr>
          <w:lang w:eastAsia="zh-CN"/>
        </w:rPr>
        <w:t xml:space="preserve"> Rel-17 unified </w:t>
      </w:r>
      <w:r w:rsidRPr="00862B30">
        <w:rPr>
          <w:lang w:eastAsia="zh-CN"/>
        </w:rPr>
        <w:t xml:space="preserve">TCI switching delay requirement </w:t>
      </w:r>
      <w:r>
        <w:rPr>
          <w:lang w:eastAsia="zh-CN"/>
        </w:rPr>
        <w:t>are</w:t>
      </w:r>
      <w:r w:rsidRPr="00862B30">
        <w:rPr>
          <w:lang w:eastAsia="zh-CN"/>
        </w:rPr>
        <w:t xml:space="preserve"> defined </w:t>
      </w:r>
      <w:r>
        <w:rPr>
          <w:lang w:eastAsia="zh-CN"/>
        </w:rPr>
        <w:t>by</w:t>
      </w:r>
      <w:r w:rsidRPr="00862B30">
        <w:rPr>
          <w:lang w:eastAsia="zh-CN"/>
        </w:rPr>
        <w:t xml:space="preserve"> UL</w:t>
      </w:r>
      <w:r>
        <w:rPr>
          <w:lang w:eastAsia="zh-CN"/>
        </w:rPr>
        <w:t>-</w:t>
      </w:r>
      <w:r w:rsidRPr="00862B30">
        <w:rPr>
          <w:lang w:eastAsia="zh-CN"/>
        </w:rPr>
        <w:t>TCI and DL</w:t>
      </w:r>
      <w:r>
        <w:rPr>
          <w:lang w:eastAsia="zh-CN"/>
        </w:rPr>
        <w:t>-</w:t>
      </w:r>
      <w:r w:rsidRPr="00862B30">
        <w:rPr>
          <w:lang w:eastAsia="zh-CN"/>
        </w:rPr>
        <w:t>TCI switching</w:t>
      </w:r>
      <w:r>
        <w:rPr>
          <w:lang w:eastAsia="zh-CN"/>
        </w:rPr>
        <w:t xml:space="preserve"> requirements. We don’t see reason to define </w:t>
      </w:r>
      <w:r w:rsidRPr="00F84160">
        <w:rPr>
          <w:lang w:eastAsia="zh-CN"/>
        </w:rPr>
        <w:t>TCI state-pair indication requirement</w:t>
      </w:r>
      <w:r>
        <w:rPr>
          <w:lang w:eastAsia="zh-CN"/>
        </w:rPr>
        <w:t xml:space="preserve"> separately.</w:t>
      </w:r>
    </w:p>
    <w:p w:rsidRPr="00862B30" w:rsidR="009A264D" w:rsidP="004017B6" w:rsidRDefault="009A264D" w14:paraId="47EC16D0" w14:textId="77777777">
      <w:pPr>
        <w:ind w:right="-22"/>
      </w:pPr>
    </w:p>
    <w:p w:rsidRPr="00862B30" w:rsidR="008D3B00" w:rsidP="008D3B00" w:rsidRDefault="008D3B00" w14:paraId="0743AF35" w14:textId="7DFA61AD">
      <w:pPr>
        <w:pStyle w:val="RAN4H1"/>
        <w:rPr>
          <w:lang w:val="en-US"/>
        </w:rPr>
      </w:pPr>
      <w:r w:rsidRPr="00862B30">
        <w:rPr>
          <w:lang w:val="en-US"/>
        </w:rPr>
        <w:lastRenderedPageBreak/>
        <w:t>References</w:t>
      </w:r>
    </w:p>
    <w:p w:rsidRPr="00862B30" w:rsidR="006F350D" w:rsidP="00B35009" w:rsidRDefault="006F350D" w14:paraId="1A878FEB" w14:textId="7E296412">
      <w:pPr>
        <w:numPr>
          <w:ilvl w:val="0"/>
          <w:numId w:val="4"/>
        </w:numPr>
        <w:overflowPunct w:val="0"/>
        <w:autoSpaceDE w:val="0"/>
        <w:autoSpaceDN w:val="0"/>
        <w:adjustRightInd w:val="0"/>
        <w:spacing w:after="120" w:line="240" w:lineRule="auto"/>
        <w:jc w:val="both"/>
        <w:textAlignment w:val="baseline"/>
        <w:rPr>
          <w:rFonts w:eastAsia="Times New Roman" w:cs="Times New Roman"/>
        </w:rPr>
      </w:pPr>
      <w:r w:rsidRPr="00862B30">
        <w:rPr>
          <w:rFonts w:eastAsia="Times New Roman" w:cs="Times New Roman"/>
        </w:rPr>
        <w:t>RP-</w:t>
      </w:r>
      <w:proofErr w:type="gramStart"/>
      <w:r w:rsidRPr="00862B30">
        <w:rPr>
          <w:rFonts w:eastAsia="Times New Roman" w:cs="Times New Roman"/>
        </w:rPr>
        <w:t>212535,  Revised</w:t>
      </w:r>
      <w:proofErr w:type="gramEnd"/>
      <w:r w:rsidRPr="00862B30">
        <w:rPr>
          <w:rFonts w:eastAsia="Times New Roman" w:cs="Times New Roman"/>
        </w:rPr>
        <w:t xml:space="preserve"> WID: Further enhancements on MIMO for NR, Samsung, RAN#93-e </w:t>
      </w:r>
    </w:p>
    <w:p w:rsidRPr="00862B30" w:rsidR="006D0094" w:rsidRDefault="0066422B" w14:paraId="22ED2387" w14:textId="3FEF6494">
      <w:r w:rsidRPr="00862B30">
        <w:t>[2</w:t>
      </w:r>
      <w:proofErr w:type="gramStart"/>
      <w:r w:rsidRPr="00862B30">
        <w:t xml:space="preserve">]  </w:t>
      </w:r>
      <w:r w:rsidRPr="00DC2A0A" w:rsidR="00DC2A0A">
        <w:t>R</w:t>
      </w:r>
      <w:proofErr w:type="gramEnd"/>
      <w:r w:rsidRPr="00DC2A0A" w:rsidR="00DC2A0A">
        <w:t>4-2202666</w:t>
      </w:r>
      <w:r w:rsidR="00DC2A0A">
        <w:t xml:space="preserve">, </w:t>
      </w:r>
      <w:r w:rsidRPr="00DC2A0A" w:rsidR="00DC2A0A">
        <w:t xml:space="preserve">WF on RRM impact on unified TCI in </w:t>
      </w:r>
      <w:proofErr w:type="spellStart"/>
      <w:r w:rsidRPr="00DC2A0A" w:rsidR="00DC2A0A">
        <w:t>FeMIMO</w:t>
      </w:r>
      <w:proofErr w:type="spellEnd"/>
      <w:r w:rsidR="00DC2A0A">
        <w:t xml:space="preserve">, </w:t>
      </w:r>
      <w:r w:rsidR="00A90D0E">
        <w:t xml:space="preserve">Samsung, </w:t>
      </w:r>
      <w:r w:rsidRPr="00862B30" w:rsidR="00DA3D8C">
        <w:t>RAN4#10</w:t>
      </w:r>
      <w:r w:rsidR="00DC2A0A">
        <w:t>1-bis-e</w:t>
      </w:r>
    </w:p>
    <w:p w:rsidR="00181907" w:rsidRDefault="00181907" w14:paraId="25D30D3B" w14:textId="5DF267E4">
      <w:r w:rsidRPr="00862B30">
        <w:t xml:space="preserve">[3] R1-2112949 </w:t>
      </w:r>
      <w:proofErr w:type="gramStart"/>
      <w:r w:rsidRPr="00862B30">
        <w:t>CR :</w:t>
      </w:r>
      <w:proofErr w:type="gramEnd"/>
      <w:r w:rsidRPr="00862B30">
        <w:t xml:space="preserve"> Introduction of further enhancements on MIMO for NR, RAN1#1</w:t>
      </w:r>
      <w:r w:rsidR="00DC2A0A">
        <w:t>0</w:t>
      </w:r>
      <w:r w:rsidRPr="00862B30">
        <w:t>7</w:t>
      </w:r>
    </w:p>
    <w:p w:rsidRPr="00862B30" w:rsidR="00A90D0E" w:rsidRDefault="00A90D0E" w14:paraId="1467E983" w14:textId="79803435"/>
    <w:p w:rsidR="00D528AE" w:rsidP="00DC2A0A" w:rsidRDefault="00DC2A0A" w14:paraId="544EE5F7" w14:textId="6620CA1D">
      <w:pPr>
        <w:pStyle w:val="RAN4H1"/>
        <w:rPr>
          <w:lang w:val="en-US"/>
        </w:rPr>
      </w:pPr>
      <w:proofErr w:type="gramStart"/>
      <w:r w:rsidRPr="004017B6">
        <w:rPr>
          <w:lang w:val="en-US"/>
        </w:rPr>
        <w:t>Appendix</w:t>
      </w:r>
      <w:r w:rsidR="00CD3804">
        <w:rPr>
          <w:lang w:val="en-US"/>
        </w:rPr>
        <w:t xml:space="preserve"> :</w:t>
      </w:r>
      <w:proofErr w:type="gramEnd"/>
      <w:r w:rsidR="00CD3804">
        <w:rPr>
          <w:lang w:val="en-US"/>
        </w:rPr>
        <w:t xml:space="preserve"> Draft of </w:t>
      </w:r>
      <w:r w:rsidRPr="00CD3804" w:rsidR="00CD3804">
        <w:rPr>
          <w:lang w:val="en-US"/>
        </w:rPr>
        <w:t>DCI based downlink/uplink TCI state switch delay</w:t>
      </w:r>
    </w:p>
    <w:p w:rsidR="00DC2A0A" w:rsidP="00DC2A0A" w:rsidRDefault="00DC2A0A" w14:paraId="6A17334B" w14:textId="1717C2A7"/>
    <w:p w:rsidRPr="004017B6" w:rsidR="00CD3804" w:rsidP="00CD3804" w:rsidRDefault="00CD3804" w14:paraId="6ED51E1D" w14:textId="77777777">
      <w:pPr>
        <w:rPr>
          <w:b/>
          <w:bCs/>
          <w:noProof/>
        </w:rPr>
      </w:pPr>
      <w:r w:rsidRPr="004017B6">
        <w:rPr>
          <w:b/>
          <w:bCs/>
          <w:noProof/>
        </w:rPr>
        <w:t>8.15.4   DCI based downlink TCI state switch delay</w:t>
      </w:r>
    </w:p>
    <w:p w:rsidR="00CD3804" w:rsidP="00CD3804" w:rsidRDefault="00CD3804" w14:paraId="00F14077" w14:textId="77777777">
      <w:pPr>
        <w:rPr>
          <w:noProof/>
        </w:rPr>
      </w:pPr>
    </w:p>
    <w:p w:rsidRPr="00F723F0" w:rsidR="00CD3804" w:rsidP="00CD3804" w:rsidRDefault="00CD3804" w14:paraId="4242C782" w14:textId="77777777">
      <w:pPr>
        <w:rPr>
          <w:noProof/>
        </w:rPr>
      </w:pPr>
      <w:r>
        <w:rPr>
          <w:noProof/>
        </w:rPr>
        <w:t xml:space="preserve">When a UE is configured with the </w:t>
      </w:r>
      <w:r w:rsidRPr="00F723F0">
        <w:rPr>
          <w:noProof/>
        </w:rPr>
        <w:t>higher layer parameter with [</w:t>
      </w:r>
      <w:r w:rsidRPr="00F723F0">
        <w:rPr>
          <w:i/>
          <w:iCs/>
          <w:noProof/>
        </w:rPr>
        <w:t>tci-StateId_r17</w:t>
      </w:r>
      <w:r w:rsidRPr="00F723F0">
        <w:rPr>
          <w:noProof/>
        </w:rPr>
        <w:t xml:space="preserve">] for </w:t>
      </w:r>
      <w:r w:rsidRPr="00F723F0">
        <w:rPr>
          <w:i/>
          <w:iCs/>
          <w:noProof/>
        </w:rPr>
        <w:t>unified TCI switching</w:t>
      </w:r>
      <w:r w:rsidRPr="00F723F0">
        <w:rPr>
          <w:noProof/>
        </w:rPr>
        <w:t xml:space="preserve"> and receives DCI format 1_1/1_2 with or without DL assingment providing indicated TCI-State with [</w:t>
      </w:r>
      <w:r w:rsidRPr="00F723F0">
        <w:rPr>
          <w:i/>
          <w:iCs/>
          <w:noProof/>
        </w:rPr>
        <w:t>tci-StateId_r17</w:t>
      </w:r>
      <w:r w:rsidRPr="00F723F0">
        <w:rPr>
          <w:noProof/>
        </w:rPr>
        <w:t>] for a CC or all CCs in the same CC list configured by [</w:t>
      </w:r>
      <w:r w:rsidRPr="00F723F0">
        <w:rPr>
          <w:i/>
          <w:iCs/>
          <w:noProof/>
        </w:rPr>
        <w:t>simultaneousTCI-UpdateList1 or simultaneousTCI-UpdateList2</w:t>
      </w:r>
      <w:r w:rsidRPr="00F723F0">
        <w:rPr>
          <w:noProof/>
        </w:rPr>
        <w:t>], the UE transmits a PUCCH with HARQ-ACK information corresponding to the DCI carrying the TCI-State indication.</w:t>
      </w:r>
    </w:p>
    <w:p w:rsidRPr="00F723F0" w:rsidR="00CD3804" w:rsidP="00CD3804" w:rsidRDefault="00CD3804" w14:paraId="16EC9B80" w14:textId="77777777">
      <w:pPr>
        <w:rPr>
          <w:noProof/>
        </w:rPr>
      </w:pPr>
      <w:r w:rsidRPr="00F723F0">
        <w:rPr>
          <w:noProof/>
        </w:rPr>
        <w:t xml:space="preserve">If the target TCI state is known, the DL TCI switching to the indicated TCI-State in the DCI format shall be completed starting from the first slot that is at least </w:t>
      </w:r>
      <w:r w:rsidRPr="00F723F0">
        <w:rPr>
          <w:i/>
          <w:iCs/>
          <w:noProof/>
        </w:rPr>
        <w:t>BeamAppTime_r17</w:t>
      </w:r>
      <w:r w:rsidRPr="00F723F0">
        <w:rPr>
          <w:noProof/>
        </w:rPr>
        <w:t xml:space="preserve"> symbols after the last symbol of the PUCCH. The first slot and the </w:t>
      </w:r>
      <w:r w:rsidRPr="00F723F0">
        <w:rPr>
          <w:i/>
          <w:iCs/>
          <w:noProof/>
        </w:rPr>
        <w:t>BeamAppTime_r17</w:t>
      </w:r>
      <w:r w:rsidRPr="00F723F0">
        <w:rPr>
          <w:noProof/>
        </w:rPr>
        <w:t xml:space="preserve"> symbols are both determined on the carrier with the smallest SCS among the carrier(s) applying the beam indication. The value of </w:t>
      </w:r>
      <w:r w:rsidRPr="00F723F0">
        <w:rPr>
          <w:i/>
          <w:iCs/>
          <w:noProof/>
        </w:rPr>
        <w:t>BeamAppTime_r17</w:t>
      </w:r>
      <w:r w:rsidRPr="00F723F0">
        <w:rPr>
          <w:noProof/>
        </w:rPr>
        <w:t xml:space="preserve"> is defined in TS 38.331 [2].  The known condition for TCI state defined in clause [8.15.2] is applied.</w:t>
      </w:r>
    </w:p>
    <w:p w:rsidR="00CD3804" w:rsidP="00CD3804" w:rsidRDefault="00CD3804" w14:paraId="0E163134" w14:textId="77777777">
      <w:pPr>
        <w:rPr>
          <w:noProof/>
        </w:rPr>
      </w:pPr>
    </w:p>
    <w:p w:rsidRPr="004017B6" w:rsidR="00CD3804" w:rsidP="00CD3804" w:rsidRDefault="00CD3804" w14:paraId="465AAEE3" w14:textId="77777777">
      <w:pPr>
        <w:rPr>
          <w:b/>
          <w:bCs/>
          <w:noProof/>
        </w:rPr>
      </w:pPr>
      <w:r w:rsidRPr="004017B6">
        <w:rPr>
          <w:b/>
          <w:bCs/>
          <w:noProof/>
        </w:rPr>
        <w:t>8.16.4   DCI based uplink TCI state switch delay</w:t>
      </w:r>
    </w:p>
    <w:p w:rsidRPr="00F723F0" w:rsidR="00CD3804" w:rsidP="00CD3804" w:rsidRDefault="00CD3804" w14:paraId="1FF40A6A" w14:textId="77777777">
      <w:pPr>
        <w:rPr>
          <w:noProof/>
        </w:rPr>
      </w:pPr>
    </w:p>
    <w:p w:rsidRPr="00F723F0" w:rsidR="00CD3804" w:rsidP="00CD3804" w:rsidRDefault="00CD3804" w14:paraId="70405713" w14:textId="77777777">
      <w:pPr>
        <w:rPr>
          <w:noProof/>
        </w:rPr>
      </w:pPr>
      <w:r w:rsidRPr="00F723F0">
        <w:rPr>
          <w:noProof/>
        </w:rPr>
        <w:t>When a UE is configured with the higher layer parameter with [</w:t>
      </w:r>
      <w:r w:rsidRPr="00F723F0">
        <w:rPr>
          <w:i/>
          <w:iCs/>
          <w:noProof/>
        </w:rPr>
        <w:t>tci-StateId_r17</w:t>
      </w:r>
      <w:r w:rsidRPr="00F723F0">
        <w:rPr>
          <w:noProof/>
        </w:rPr>
        <w:t xml:space="preserve">] for </w:t>
      </w:r>
      <w:r w:rsidRPr="00F723F0">
        <w:rPr>
          <w:i/>
          <w:iCs/>
          <w:noProof/>
        </w:rPr>
        <w:t>unified TCI switching</w:t>
      </w:r>
      <w:r w:rsidRPr="00F723F0">
        <w:rPr>
          <w:noProof/>
        </w:rPr>
        <w:t xml:space="preserve"> and receives DCI format 1_1/1_2 with or with DL assignement providing indicated TCI-State with [</w:t>
      </w:r>
      <w:r w:rsidRPr="00F723F0">
        <w:rPr>
          <w:i/>
          <w:iCs/>
          <w:noProof/>
        </w:rPr>
        <w:t>tci-StateId_r17</w:t>
      </w:r>
      <w:r w:rsidRPr="00F723F0">
        <w:rPr>
          <w:noProof/>
        </w:rPr>
        <w:t>] for a CC or all CCs in the same CC list configured by [</w:t>
      </w:r>
      <w:r w:rsidRPr="00F723F0">
        <w:rPr>
          <w:i/>
          <w:iCs/>
          <w:noProof/>
        </w:rPr>
        <w:t>simultaneousTCI-UpdateList1 or simultaneousTCI-UpdateList2</w:t>
      </w:r>
      <w:r w:rsidRPr="00F723F0">
        <w:rPr>
          <w:noProof/>
        </w:rPr>
        <w:t>], the UE transmits a PUCCH with HARQ-ACK information corresponding to the DCI carrying the TCI-State indication.</w:t>
      </w:r>
    </w:p>
    <w:p w:rsidRPr="00F723F0" w:rsidR="00CD3804" w:rsidP="00CD3804" w:rsidRDefault="00CD3804" w14:paraId="6F597A8C" w14:textId="77777777">
      <w:pPr>
        <w:rPr>
          <w:noProof/>
        </w:rPr>
      </w:pPr>
      <w:r w:rsidRPr="00F723F0">
        <w:rPr>
          <w:noProof/>
        </w:rPr>
        <w:t xml:space="preserve">If the target TCI state is known, the UL TCI switching to the indicated TCI-State in the DCI format shall be completed starting from the first slot that is at least </w:t>
      </w:r>
      <w:r w:rsidRPr="00F723F0">
        <w:rPr>
          <w:i/>
          <w:iCs/>
          <w:noProof/>
        </w:rPr>
        <w:t>BeamAppTime_r17</w:t>
      </w:r>
      <w:r w:rsidRPr="00F723F0">
        <w:rPr>
          <w:noProof/>
        </w:rPr>
        <w:t xml:space="preserve"> symbols after the last symbol of the PUCCH. The first slot and the </w:t>
      </w:r>
      <w:r w:rsidRPr="00F723F0">
        <w:rPr>
          <w:i/>
          <w:iCs/>
          <w:noProof/>
        </w:rPr>
        <w:t>BeamAppTime_r17</w:t>
      </w:r>
      <w:r w:rsidRPr="00F723F0">
        <w:rPr>
          <w:noProof/>
        </w:rPr>
        <w:t xml:space="preserve"> symbols are both determined on the carrier with the smallest SCS among the carrier(s) applying the beam indication. The value of </w:t>
      </w:r>
      <w:r w:rsidRPr="00F723F0">
        <w:rPr>
          <w:i/>
          <w:iCs/>
          <w:noProof/>
        </w:rPr>
        <w:t>BeamAppTime_r17</w:t>
      </w:r>
      <w:r w:rsidRPr="00F723F0">
        <w:rPr>
          <w:noProof/>
        </w:rPr>
        <w:t xml:space="preserve"> is defined in TS 38.331 [2].  The known condition for TCI state defined in clause [8.16.2] is applied.</w:t>
      </w:r>
    </w:p>
    <w:p w:rsidRPr="004017B6" w:rsidR="00DC2A0A" w:rsidP="004017B6" w:rsidRDefault="00DC2A0A" w14:paraId="0593448F" w14:textId="77777777"/>
    <w:sectPr w:rsidRPr="004017B6" w:rsidR="00DC2A0A" w:rsidSect="00C0786F">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D6D73" w:rsidP="008F7DD8" w:rsidRDefault="00ED6D73" w14:paraId="4D285E61" w14:textId="77777777">
      <w:pPr>
        <w:spacing w:after="0" w:line="240" w:lineRule="auto"/>
      </w:pPr>
      <w:r>
        <w:separator/>
      </w:r>
    </w:p>
  </w:endnote>
  <w:endnote w:type="continuationSeparator" w:id="0">
    <w:p w:rsidR="00ED6D73" w:rsidP="008F7DD8" w:rsidRDefault="00ED6D73" w14:paraId="083FBC47" w14:textId="77777777">
      <w:pPr>
        <w:spacing w:after="0" w:line="240" w:lineRule="auto"/>
      </w:pPr>
      <w:r>
        <w:continuationSeparator/>
      </w:r>
    </w:p>
  </w:endnote>
  <w:endnote w:type="continuationNotice" w:id="1">
    <w:p w:rsidR="00ED6D73" w:rsidRDefault="00ED6D73" w14:paraId="36C52F0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D6D73" w:rsidP="008F7DD8" w:rsidRDefault="00ED6D73" w14:paraId="4FA6B577" w14:textId="77777777">
      <w:pPr>
        <w:spacing w:after="0" w:line="240" w:lineRule="auto"/>
      </w:pPr>
      <w:r>
        <w:separator/>
      </w:r>
    </w:p>
  </w:footnote>
  <w:footnote w:type="continuationSeparator" w:id="0">
    <w:p w:rsidR="00ED6D73" w:rsidP="008F7DD8" w:rsidRDefault="00ED6D73" w14:paraId="2EDBEFDF" w14:textId="77777777">
      <w:pPr>
        <w:spacing w:after="0" w:line="240" w:lineRule="auto"/>
      </w:pPr>
      <w:r>
        <w:continuationSeparator/>
      </w:r>
    </w:p>
  </w:footnote>
  <w:footnote w:type="continuationNotice" w:id="1">
    <w:p w:rsidR="00ED6D73" w:rsidRDefault="00ED6D73" w14:paraId="531384EE"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A24A3"/>
    <w:multiLevelType w:val="hybridMultilevel"/>
    <w:tmpl w:val="8B96A5BE"/>
    <w:lvl w:ilvl="0" w:tplc="7DA6AEDE">
      <w:numFmt w:val="bullet"/>
      <w:lvlText w:val="-"/>
      <w:lvlJc w:val="left"/>
      <w:pPr>
        <w:ind w:left="720" w:hanging="360"/>
      </w:pPr>
      <w:rPr>
        <w:rFonts w:hint="default" w:ascii="Times New Roman" w:hAnsi="Times New Roman" w:cs="Times New Roman" w:eastAsiaTheme="minorHAnsi"/>
        <w:b w:val="0"/>
        <w:u w:val="none"/>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7E7BB6"/>
    <w:multiLevelType w:val="hybridMultilevel"/>
    <w:tmpl w:val="A050BCD2"/>
    <w:lvl w:ilvl="0" w:tplc="42E4A7DC">
      <w:numFmt w:val="bullet"/>
      <w:lvlText w:val="-"/>
      <w:lvlJc w:val="left"/>
      <w:pPr>
        <w:ind w:left="420" w:hanging="420"/>
      </w:pPr>
      <w:rPr>
        <w:rFonts w:hint="default" w:ascii="Times New Roman" w:hAnsi="Times New Roman" w:cs="Times New Roman" w:eastAsiaTheme="minorHAnsi"/>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B">
      <w:start w:val="1"/>
      <w:numFmt w:val="bullet"/>
      <w:lvlText w:val=""/>
      <w:lvlJc w:val="left"/>
      <w:pPr>
        <w:ind w:left="2100" w:hanging="420"/>
      </w:pPr>
      <w:rPr>
        <w:rFonts w:hint="default" w:ascii="Wingdings" w:hAnsi="Wingdings"/>
      </w:rPr>
    </w:lvl>
    <w:lvl w:ilvl="5" w:tplc="0409000D">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B">
      <w:start w:val="1"/>
      <w:numFmt w:val="bullet"/>
      <w:lvlText w:val=""/>
      <w:lvlJc w:val="left"/>
      <w:pPr>
        <w:ind w:left="3360" w:hanging="420"/>
      </w:pPr>
      <w:rPr>
        <w:rFonts w:hint="default" w:ascii="Wingdings" w:hAnsi="Wingdings"/>
      </w:rPr>
    </w:lvl>
    <w:lvl w:ilvl="8" w:tplc="0409000D">
      <w:start w:val="1"/>
      <w:numFmt w:val="bullet"/>
      <w:lvlText w:val=""/>
      <w:lvlJc w:val="left"/>
      <w:pPr>
        <w:ind w:left="3780" w:hanging="420"/>
      </w:pPr>
      <w:rPr>
        <w:rFonts w:hint="default" w:ascii="Wingdings" w:hAnsi="Wingdings"/>
      </w:rPr>
    </w:lvl>
  </w:abstractNum>
  <w:abstractNum w:abstractNumId="3" w15:restartNumberingAfterBreak="0">
    <w:nsid w:val="08D9175B"/>
    <w:multiLevelType w:val="hybridMultilevel"/>
    <w:tmpl w:val="7FE85C80"/>
    <w:lvl w:ilvl="0" w:tplc="0220E680">
      <w:start w:val="1"/>
      <w:numFmt w:val="bullet"/>
      <w:lvlText w:val="•"/>
      <w:lvlJc w:val="left"/>
      <w:pPr>
        <w:tabs>
          <w:tab w:val="num" w:pos="720"/>
        </w:tabs>
        <w:ind w:left="720" w:hanging="360"/>
      </w:pPr>
      <w:rPr>
        <w:rFonts w:hint="default" w:ascii="Arial" w:hAnsi="Arial"/>
      </w:rPr>
    </w:lvl>
    <w:lvl w:ilvl="1" w:tplc="44668580">
      <w:numFmt w:val="bullet"/>
      <w:lvlText w:val="•"/>
      <w:lvlJc w:val="left"/>
      <w:pPr>
        <w:tabs>
          <w:tab w:val="num" w:pos="1440"/>
        </w:tabs>
        <w:ind w:left="1440" w:hanging="360"/>
      </w:pPr>
      <w:rPr>
        <w:rFonts w:hint="default" w:ascii="Arial" w:hAnsi="Arial"/>
      </w:rPr>
    </w:lvl>
    <w:lvl w:ilvl="2" w:tplc="F97A6DCE" w:tentative="1">
      <w:start w:val="1"/>
      <w:numFmt w:val="bullet"/>
      <w:lvlText w:val="•"/>
      <w:lvlJc w:val="left"/>
      <w:pPr>
        <w:tabs>
          <w:tab w:val="num" w:pos="2160"/>
        </w:tabs>
        <w:ind w:left="2160" w:hanging="360"/>
      </w:pPr>
      <w:rPr>
        <w:rFonts w:hint="default" w:ascii="Arial" w:hAnsi="Arial"/>
      </w:rPr>
    </w:lvl>
    <w:lvl w:ilvl="3" w:tplc="D72AF9E0" w:tentative="1">
      <w:start w:val="1"/>
      <w:numFmt w:val="bullet"/>
      <w:lvlText w:val="•"/>
      <w:lvlJc w:val="left"/>
      <w:pPr>
        <w:tabs>
          <w:tab w:val="num" w:pos="2880"/>
        </w:tabs>
        <w:ind w:left="2880" w:hanging="360"/>
      </w:pPr>
      <w:rPr>
        <w:rFonts w:hint="default" w:ascii="Arial" w:hAnsi="Arial"/>
      </w:rPr>
    </w:lvl>
    <w:lvl w:ilvl="4" w:tplc="9724B258" w:tentative="1">
      <w:start w:val="1"/>
      <w:numFmt w:val="bullet"/>
      <w:lvlText w:val="•"/>
      <w:lvlJc w:val="left"/>
      <w:pPr>
        <w:tabs>
          <w:tab w:val="num" w:pos="3600"/>
        </w:tabs>
        <w:ind w:left="3600" w:hanging="360"/>
      </w:pPr>
      <w:rPr>
        <w:rFonts w:hint="default" w:ascii="Arial" w:hAnsi="Arial"/>
      </w:rPr>
    </w:lvl>
    <w:lvl w:ilvl="5" w:tplc="8996C17C" w:tentative="1">
      <w:start w:val="1"/>
      <w:numFmt w:val="bullet"/>
      <w:lvlText w:val="•"/>
      <w:lvlJc w:val="left"/>
      <w:pPr>
        <w:tabs>
          <w:tab w:val="num" w:pos="4320"/>
        </w:tabs>
        <w:ind w:left="4320" w:hanging="360"/>
      </w:pPr>
      <w:rPr>
        <w:rFonts w:hint="default" w:ascii="Arial" w:hAnsi="Arial"/>
      </w:rPr>
    </w:lvl>
    <w:lvl w:ilvl="6" w:tplc="5382089A" w:tentative="1">
      <w:start w:val="1"/>
      <w:numFmt w:val="bullet"/>
      <w:lvlText w:val="•"/>
      <w:lvlJc w:val="left"/>
      <w:pPr>
        <w:tabs>
          <w:tab w:val="num" w:pos="5040"/>
        </w:tabs>
        <w:ind w:left="5040" w:hanging="360"/>
      </w:pPr>
      <w:rPr>
        <w:rFonts w:hint="default" w:ascii="Arial" w:hAnsi="Arial"/>
      </w:rPr>
    </w:lvl>
    <w:lvl w:ilvl="7" w:tplc="471683E6" w:tentative="1">
      <w:start w:val="1"/>
      <w:numFmt w:val="bullet"/>
      <w:lvlText w:val="•"/>
      <w:lvlJc w:val="left"/>
      <w:pPr>
        <w:tabs>
          <w:tab w:val="num" w:pos="5760"/>
        </w:tabs>
        <w:ind w:left="5760" w:hanging="360"/>
      </w:pPr>
      <w:rPr>
        <w:rFonts w:hint="default" w:ascii="Arial" w:hAnsi="Arial"/>
      </w:rPr>
    </w:lvl>
    <w:lvl w:ilvl="8" w:tplc="B0043992" w:tentative="1">
      <w:start w:val="1"/>
      <w:numFmt w:val="bullet"/>
      <w:lvlText w:val="•"/>
      <w:lvlJc w:val="left"/>
      <w:pPr>
        <w:tabs>
          <w:tab w:val="num" w:pos="6480"/>
        </w:tabs>
        <w:ind w:left="6480" w:hanging="360"/>
      </w:pPr>
      <w:rPr>
        <w:rFonts w:hint="default" w:ascii="Arial" w:hAnsi="Arial"/>
      </w:rPr>
    </w:lvl>
  </w:abstractNum>
  <w:abstractNum w:abstractNumId="4" w15:restartNumberingAfterBreak="0">
    <w:nsid w:val="09ED6C89"/>
    <w:multiLevelType w:val="hybridMultilevel"/>
    <w:tmpl w:val="E8A6B25E"/>
    <w:lvl w:ilvl="0" w:tplc="42E4A7DC">
      <w:numFmt w:val="bullet"/>
      <w:lvlText w:val="-"/>
      <w:lvlJc w:val="left"/>
      <w:pPr>
        <w:ind w:left="1080" w:hanging="360"/>
      </w:pPr>
      <w:rPr>
        <w:rFonts w:hint="default" w:ascii="Times New Roman" w:hAnsi="Times New Roman" w:cs="Times New Roman" w:eastAsiaTheme="minorHAnsi"/>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5" w15:restartNumberingAfterBreak="0">
    <w:nsid w:val="0C30468E"/>
    <w:multiLevelType w:val="hybridMultilevel"/>
    <w:tmpl w:val="37D6A04A"/>
    <w:lvl w:ilvl="0" w:tplc="6B2ACC46">
      <w:numFmt w:val="bullet"/>
      <w:lvlText w:val="-"/>
      <w:lvlJc w:val="left"/>
      <w:pPr>
        <w:ind w:left="1080" w:hanging="360"/>
      </w:pPr>
      <w:rPr>
        <w:rFonts w:hint="default" w:ascii="Times New Roman" w:hAnsi="Times New Roman" w:cs="Times New Roman" w:eastAsia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6" w15:restartNumberingAfterBreak="0">
    <w:nsid w:val="10442D87"/>
    <w:multiLevelType w:val="multilevel"/>
    <w:tmpl w:val="8BDCF47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BC87901"/>
    <w:multiLevelType w:val="hybridMultilevel"/>
    <w:tmpl w:val="EC20156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D923082"/>
    <w:multiLevelType w:val="hybridMultilevel"/>
    <w:tmpl w:val="35988B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9" w15:restartNumberingAfterBreak="0">
    <w:nsid w:val="1F16529E"/>
    <w:multiLevelType w:val="hybridMultilevel"/>
    <w:tmpl w:val="8DDA643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1E346DE"/>
    <w:multiLevelType w:val="hybridMultilevel"/>
    <w:tmpl w:val="E4A8B1C4"/>
    <w:lvl w:ilvl="0" w:tplc="F2F43298">
      <w:start w:val="1"/>
      <w:numFmt w:val="bullet"/>
      <w:lvlText w:val="•"/>
      <w:lvlJc w:val="left"/>
      <w:pPr>
        <w:ind w:left="420" w:hanging="420"/>
      </w:pPr>
      <w:rPr>
        <w:rFonts w:hint="default" w:ascii="Arial" w:hAnsi="Arial" w:cs="Times New Roman"/>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1" w15:restartNumberingAfterBreak="0">
    <w:nsid w:val="2D8C08A5"/>
    <w:multiLevelType w:val="hybridMultilevel"/>
    <w:tmpl w:val="36943ABA"/>
    <w:lvl w:ilvl="0" w:tplc="F42AB520">
      <w:numFmt w:val="bullet"/>
      <w:lvlText w:val="-"/>
      <w:lvlJc w:val="left"/>
      <w:pPr>
        <w:ind w:left="1080" w:hanging="360"/>
      </w:pPr>
      <w:rPr>
        <w:rFonts w:hint="default" w:ascii="Times New Roman" w:hAnsi="Times New Roman" w:cs="Times New Roman" w:eastAsia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2" w15:restartNumberingAfterBreak="0">
    <w:nsid w:val="33046F9B"/>
    <w:multiLevelType w:val="hybridMultilevel"/>
    <w:tmpl w:val="A26A45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68F4CD4"/>
    <w:multiLevelType w:val="hybridMultilevel"/>
    <w:tmpl w:val="B3762EE6"/>
    <w:lvl w:ilvl="0" w:tplc="921E202C">
      <w:numFmt w:val="bullet"/>
      <w:lvlText w:val="•"/>
      <w:lvlJc w:val="left"/>
      <w:pPr>
        <w:ind w:left="720" w:hanging="360"/>
      </w:pPr>
      <w:rPr>
        <w:rFonts w:hint="eastAsia" w:ascii="바탕" w:hAnsi="바탕" w:eastAsia="바탕"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7C12697"/>
    <w:multiLevelType w:val="hybridMultilevel"/>
    <w:tmpl w:val="5F4C77C0"/>
    <w:lvl w:ilvl="0" w:tplc="B8AE97CE">
      <w:start w:val="2"/>
      <w:numFmt w:val="bullet"/>
      <w:lvlText w:val="-"/>
      <w:lvlJc w:val="left"/>
      <w:pPr>
        <w:ind w:left="460" w:hanging="360"/>
      </w:pPr>
      <w:rPr>
        <w:rFonts w:hint="default" w:ascii="Times New Roman" w:hAnsi="Times New Roman" w:cs="Times New Roman" w:eastAsiaTheme="minorHAnsi"/>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15" w15:restartNumberingAfterBreak="0">
    <w:nsid w:val="37FD2AEC"/>
    <w:multiLevelType w:val="hybridMultilevel"/>
    <w:tmpl w:val="CB423446"/>
    <w:lvl w:ilvl="0" w:tplc="BB9006D0">
      <w:start w:val="1"/>
      <w:numFmt w:val="bullet"/>
      <w:lvlText w:val=""/>
      <w:lvlJc w:val="left"/>
      <w:pPr>
        <w:tabs>
          <w:tab w:val="num" w:pos="720"/>
        </w:tabs>
        <w:ind w:left="720" w:hanging="360"/>
      </w:pPr>
      <w:rPr>
        <w:rFonts w:hint="default" w:ascii="Symbol" w:hAnsi="Symbol"/>
      </w:rPr>
    </w:lvl>
    <w:lvl w:ilvl="1" w:tplc="D9064010" w:tentative="1">
      <w:start w:val="1"/>
      <w:numFmt w:val="bullet"/>
      <w:lvlText w:val=""/>
      <w:lvlJc w:val="left"/>
      <w:pPr>
        <w:tabs>
          <w:tab w:val="num" w:pos="1440"/>
        </w:tabs>
        <w:ind w:left="1440" w:hanging="360"/>
      </w:pPr>
      <w:rPr>
        <w:rFonts w:hint="default" w:ascii="Symbol" w:hAnsi="Symbol"/>
      </w:rPr>
    </w:lvl>
    <w:lvl w:ilvl="2" w:tplc="1EA036E2" w:tentative="1">
      <w:start w:val="1"/>
      <w:numFmt w:val="bullet"/>
      <w:lvlText w:val=""/>
      <w:lvlJc w:val="left"/>
      <w:pPr>
        <w:tabs>
          <w:tab w:val="num" w:pos="2160"/>
        </w:tabs>
        <w:ind w:left="2160" w:hanging="360"/>
      </w:pPr>
      <w:rPr>
        <w:rFonts w:hint="default" w:ascii="Symbol" w:hAnsi="Symbol"/>
      </w:rPr>
    </w:lvl>
    <w:lvl w:ilvl="3" w:tplc="CD5E48EA" w:tentative="1">
      <w:start w:val="1"/>
      <w:numFmt w:val="bullet"/>
      <w:lvlText w:val=""/>
      <w:lvlJc w:val="left"/>
      <w:pPr>
        <w:tabs>
          <w:tab w:val="num" w:pos="2880"/>
        </w:tabs>
        <w:ind w:left="2880" w:hanging="360"/>
      </w:pPr>
      <w:rPr>
        <w:rFonts w:hint="default" w:ascii="Symbol" w:hAnsi="Symbol"/>
      </w:rPr>
    </w:lvl>
    <w:lvl w:ilvl="4" w:tplc="B17C685C" w:tentative="1">
      <w:start w:val="1"/>
      <w:numFmt w:val="bullet"/>
      <w:lvlText w:val=""/>
      <w:lvlJc w:val="left"/>
      <w:pPr>
        <w:tabs>
          <w:tab w:val="num" w:pos="3600"/>
        </w:tabs>
        <w:ind w:left="3600" w:hanging="360"/>
      </w:pPr>
      <w:rPr>
        <w:rFonts w:hint="default" w:ascii="Symbol" w:hAnsi="Symbol"/>
      </w:rPr>
    </w:lvl>
    <w:lvl w:ilvl="5" w:tplc="146859DE" w:tentative="1">
      <w:start w:val="1"/>
      <w:numFmt w:val="bullet"/>
      <w:lvlText w:val=""/>
      <w:lvlJc w:val="left"/>
      <w:pPr>
        <w:tabs>
          <w:tab w:val="num" w:pos="4320"/>
        </w:tabs>
        <w:ind w:left="4320" w:hanging="360"/>
      </w:pPr>
      <w:rPr>
        <w:rFonts w:hint="default" w:ascii="Symbol" w:hAnsi="Symbol"/>
      </w:rPr>
    </w:lvl>
    <w:lvl w:ilvl="6" w:tplc="F0A0C5B0" w:tentative="1">
      <w:start w:val="1"/>
      <w:numFmt w:val="bullet"/>
      <w:lvlText w:val=""/>
      <w:lvlJc w:val="left"/>
      <w:pPr>
        <w:tabs>
          <w:tab w:val="num" w:pos="5040"/>
        </w:tabs>
        <w:ind w:left="5040" w:hanging="360"/>
      </w:pPr>
      <w:rPr>
        <w:rFonts w:hint="default" w:ascii="Symbol" w:hAnsi="Symbol"/>
      </w:rPr>
    </w:lvl>
    <w:lvl w:ilvl="7" w:tplc="7AD22E92" w:tentative="1">
      <w:start w:val="1"/>
      <w:numFmt w:val="bullet"/>
      <w:lvlText w:val=""/>
      <w:lvlJc w:val="left"/>
      <w:pPr>
        <w:tabs>
          <w:tab w:val="num" w:pos="5760"/>
        </w:tabs>
        <w:ind w:left="5760" w:hanging="360"/>
      </w:pPr>
      <w:rPr>
        <w:rFonts w:hint="default" w:ascii="Symbol" w:hAnsi="Symbol"/>
      </w:rPr>
    </w:lvl>
    <w:lvl w:ilvl="8" w:tplc="F3826CA8" w:tentative="1">
      <w:start w:val="1"/>
      <w:numFmt w:val="bullet"/>
      <w:lvlText w:val=""/>
      <w:lvlJc w:val="left"/>
      <w:pPr>
        <w:tabs>
          <w:tab w:val="num" w:pos="6480"/>
        </w:tabs>
        <w:ind w:left="6480" w:hanging="360"/>
      </w:pPr>
      <w:rPr>
        <w:rFonts w:hint="default" w:ascii="Symbol" w:hAnsi="Symbol"/>
      </w:rPr>
    </w:lvl>
  </w:abstractNum>
  <w:abstractNum w:abstractNumId="1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854" w:hanging="720"/>
      </w:pPr>
      <w:rPr>
        <w:rFonts w:hint="eastAsia"/>
      </w:rPr>
    </w:lvl>
    <w:lvl w:ilvl="3">
      <w:start w:val="1"/>
      <w:numFmt w:val="decimal"/>
      <w:lvlText w:val="%1.%2.%3.%4"/>
      <w:lvlJc w:val="left"/>
      <w:pPr>
        <w:ind w:left="1005"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EEB7E16"/>
    <w:multiLevelType w:val="hybridMultilevel"/>
    <w:tmpl w:val="187CC4F2"/>
    <w:lvl w:ilvl="0" w:tplc="7DA6AEDE">
      <w:numFmt w:val="bullet"/>
      <w:lvlText w:val="-"/>
      <w:lvlJc w:val="left"/>
      <w:pPr>
        <w:ind w:left="720" w:hanging="360"/>
      </w:pPr>
      <w:rPr>
        <w:rFonts w:hint="default" w:ascii="Times New Roman" w:hAnsi="Times New Roman" w:cs="Times New Roman" w:eastAsiaTheme="minorHAnsi"/>
        <w:b w:val="0"/>
        <w:u w:val="none"/>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409901EE"/>
    <w:multiLevelType w:val="hybridMultilevel"/>
    <w:tmpl w:val="55E6D83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9"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0" w15:restartNumberingAfterBreak="0">
    <w:nsid w:val="46200FFE"/>
    <w:multiLevelType w:val="hybridMultilevel"/>
    <w:tmpl w:val="58FE76DC"/>
    <w:lvl w:ilvl="0" w:tplc="04090001">
      <w:start w:val="1"/>
      <w:numFmt w:val="bullet"/>
      <w:lvlText w:val=""/>
      <w:lvlJc w:val="left"/>
      <w:pPr>
        <w:ind w:left="1446" w:hanging="360"/>
      </w:pPr>
      <w:rPr>
        <w:rFonts w:hint="default" w:ascii="Symbol" w:hAnsi="Symbol"/>
      </w:rPr>
    </w:lvl>
    <w:lvl w:ilvl="1" w:tplc="04090003">
      <w:start w:val="1"/>
      <w:numFmt w:val="bullet"/>
      <w:lvlText w:val="o"/>
      <w:lvlJc w:val="left"/>
      <w:pPr>
        <w:ind w:left="2166" w:hanging="360"/>
      </w:pPr>
      <w:rPr>
        <w:rFonts w:hint="default" w:ascii="Courier New" w:hAnsi="Courier New" w:cs="Courier New"/>
      </w:rPr>
    </w:lvl>
    <w:lvl w:ilvl="2" w:tplc="04090005">
      <w:start w:val="1"/>
      <w:numFmt w:val="bullet"/>
      <w:lvlText w:val=""/>
      <w:lvlJc w:val="left"/>
      <w:pPr>
        <w:ind w:left="2886" w:hanging="360"/>
      </w:pPr>
      <w:rPr>
        <w:rFonts w:hint="default" w:ascii="Wingdings" w:hAnsi="Wingdings"/>
      </w:rPr>
    </w:lvl>
    <w:lvl w:ilvl="3" w:tplc="04090001">
      <w:start w:val="1"/>
      <w:numFmt w:val="bullet"/>
      <w:lvlText w:val=""/>
      <w:lvlJc w:val="left"/>
      <w:pPr>
        <w:ind w:left="3606" w:hanging="360"/>
      </w:pPr>
      <w:rPr>
        <w:rFonts w:hint="default" w:ascii="Symbol" w:hAnsi="Symbol"/>
      </w:rPr>
    </w:lvl>
    <w:lvl w:ilvl="4" w:tplc="04090003" w:tentative="1">
      <w:start w:val="1"/>
      <w:numFmt w:val="bullet"/>
      <w:lvlText w:val="o"/>
      <w:lvlJc w:val="left"/>
      <w:pPr>
        <w:ind w:left="4326" w:hanging="360"/>
      </w:pPr>
      <w:rPr>
        <w:rFonts w:hint="default" w:ascii="Courier New" w:hAnsi="Courier New" w:cs="Courier New"/>
      </w:rPr>
    </w:lvl>
    <w:lvl w:ilvl="5" w:tplc="04090005" w:tentative="1">
      <w:start w:val="1"/>
      <w:numFmt w:val="bullet"/>
      <w:lvlText w:val=""/>
      <w:lvlJc w:val="left"/>
      <w:pPr>
        <w:ind w:left="5046" w:hanging="360"/>
      </w:pPr>
      <w:rPr>
        <w:rFonts w:hint="default" w:ascii="Wingdings" w:hAnsi="Wingdings"/>
      </w:rPr>
    </w:lvl>
    <w:lvl w:ilvl="6" w:tplc="04090001" w:tentative="1">
      <w:start w:val="1"/>
      <w:numFmt w:val="bullet"/>
      <w:lvlText w:val=""/>
      <w:lvlJc w:val="left"/>
      <w:pPr>
        <w:ind w:left="5766" w:hanging="360"/>
      </w:pPr>
      <w:rPr>
        <w:rFonts w:hint="default" w:ascii="Symbol" w:hAnsi="Symbol"/>
      </w:rPr>
    </w:lvl>
    <w:lvl w:ilvl="7" w:tplc="04090003" w:tentative="1">
      <w:start w:val="1"/>
      <w:numFmt w:val="bullet"/>
      <w:lvlText w:val="o"/>
      <w:lvlJc w:val="left"/>
      <w:pPr>
        <w:ind w:left="6486" w:hanging="360"/>
      </w:pPr>
      <w:rPr>
        <w:rFonts w:hint="default" w:ascii="Courier New" w:hAnsi="Courier New" w:cs="Courier New"/>
      </w:rPr>
    </w:lvl>
    <w:lvl w:ilvl="8" w:tplc="04090005" w:tentative="1">
      <w:start w:val="1"/>
      <w:numFmt w:val="bullet"/>
      <w:lvlText w:val=""/>
      <w:lvlJc w:val="left"/>
      <w:pPr>
        <w:ind w:left="7206" w:hanging="360"/>
      </w:pPr>
      <w:rPr>
        <w:rFonts w:hint="default" w:ascii="Wingdings" w:hAnsi="Wingdings"/>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F66424"/>
    <w:multiLevelType w:val="hybridMultilevel"/>
    <w:tmpl w:val="B6E035B6"/>
    <w:lvl w:ilvl="0" w:tplc="C4DA73E6">
      <w:start w:val="8"/>
      <w:numFmt w:val="bullet"/>
      <w:lvlText w:val="-"/>
      <w:lvlJc w:val="left"/>
      <w:pPr>
        <w:ind w:left="510" w:hanging="360"/>
      </w:pPr>
      <w:rPr>
        <w:rFonts w:hint="default" w:ascii="Times New Roman" w:hAnsi="Times New Roman" w:cs="Times New Roman" w:eastAsiaTheme="minorHAnsi"/>
      </w:rPr>
    </w:lvl>
    <w:lvl w:ilvl="1" w:tplc="04090003" w:tentative="1">
      <w:start w:val="1"/>
      <w:numFmt w:val="bullet"/>
      <w:lvlText w:val="o"/>
      <w:lvlJc w:val="left"/>
      <w:pPr>
        <w:ind w:left="1230" w:hanging="360"/>
      </w:pPr>
      <w:rPr>
        <w:rFonts w:hint="default" w:ascii="Courier New" w:hAnsi="Courier New" w:cs="Courier New"/>
      </w:rPr>
    </w:lvl>
    <w:lvl w:ilvl="2" w:tplc="04090005" w:tentative="1">
      <w:start w:val="1"/>
      <w:numFmt w:val="bullet"/>
      <w:lvlText w:val=""/>
      <w:lvlJc w:val="left"/>
      <w:pPr>
        <w:ind w:left="1950" w:hanging="360"/>
      </w:pPr>
      <w:rPr>
        <w:rFonts w:hint="default" w:ascii="Wingdings" w:hAnsi="Wingdings"/>
      </w:rPr>
    </w:lvl>
    <w:lvl w:ilvl="3" w:tplc="04090001" w:tentative="1">
      <w:start w:val="1"/>
      <w:numFmt w:val="bullet"/>
      <w:lvlText w:val=""/>
      <w:lvlJc w:val="left"/>
      <w:pPr>
        <w:ind w:left="2670" w:hanging="360"/>
      </w:pPr>
      <w:rPr>
        <w:rFonts w:hint="default" w:ascii="Symbol" w:hAnsi="Symbol"/>
      </w:rPr>
    </w:lvl>
    <w:lvl w:ilvl="4" w:tplc="04090003" w:tentative="1">
      <w:start w:val="1"/>
      <w:numFmt w:val="bullet"/>
      <w:lvlText w:val="o"/>
      <w:lvlJc w:val="left"/>
      <w:pPr>
        <w:ind w:left="3390" w:hanging="360"/>
      </w:pPr>
      <w:rPr>
        <w:rFonts w:hint="default" w:ascii="Courier New" w:hAnsi="Courier New" w:cs="Courier New"/>
      </w:rPr>
    </w:lvl>
    <w:lvl w:ilvl="5" w:tplc="04090005" w:tentative="1">
      <w:start w:val="1"/>
      <w:numFmt w:val="bullet"/>
      <w:lvlText w:val=""/>
      <w:lvlJc w:val="left"/>
      <w:pPr>
        <w:ind w:left="4110" w:hanging="360"/>
      </w:pPr>
      <w:rPr>
        <w:rFonts w:hint="default" w:ascii="Wingdings" w:hAnsi="Wingdings"/>
      </w:rPr>
    </w:lvl>
    <w:lvl w:ilvl="6" w:tplc="04090001" w:tentative="1">
      <w:start w:val="1"/>
      <w:numFmt w:val="bullet"/>
      <w:lvlText w:val=""/>
      <w:lvlJc w:val="left"/>
      <w:pPr>
        <w:ind w:left="4830" w:hanging="360"/>
      </w:pPr>
      <w:rPr>
        <w:rFonts w:hint="default" w:ascii="Symbol" w:hAnsi="Symbol"/>
      </w:rPr>
    </w:lvl>
    <w:lvl w:ilvl="7" w:tplc="04090003" w:tentative="1">
      <w:start w:val="1"/>
      <w:numFmt w:val="bullet"/>
      <w:lvlText w:val="o"/>
      <w:lvlJc w:val="left"/>
      <w:pPr>
        <w:ind w:left="5550" w:hanging="360"/>
      </w:pPr>
      <w:rPr>
        <w:rFonts w:hint="default" w:ascii="Courier New" w:hAnsi="Courier New" w:cs="Courier New"/>
      </w:rPr>
    </w:lvl>
    <w:lvl w:ilvl="8" w:tplc="04090005" w:tentative="1">
      <w:start w:val="1"/>
      <w:numFmt w:val="bullet"/>
      <w:lvlText w:val=""/>
      <w:lvlJc w:val="left"/>
      <w:pPr>
        <w:ind w:left="6270" w:hanging="360"/>
      </w:pPr>
      <w:rPr>
        <w:rFonts w:hint="default" w:ascii="Wingdings" w:hAnsi="Wingdings"/>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D14E97"/>
    <w:multiLevelType w:val="hybridMultilevel"/>
    <w:tmpl w:val="7F566C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1475B8D"/>
    <w:multiLevelType w:val="hybridMultilevel"/>
    <w:tmpl w:val="0276D6EC"/>
    <w:lvl w:ilvl="0" w:tplc="BF98CECE">
      <w:start w:val="1"/>
      <w:numFmt w:val="bullet"/>
      <w:lvlText w:val=""/>
      <w:lvlJc w:val="left"/>
      <w:pPr>
        <w:tabs>
          <w:tab w:val="num" w:pos="720"/>
        </w:tabs>
        <w:ind w:left="720" w:hanging="360"/>
      </w:pPr>
      <w:rPr>
        <w:rFonts w:hint="default" w:ascii="Symbol" w:hAnsi="Symbol"/>
      </w:rPr>
    </w:lvl>
    <w:lvl w:ilvl="1" w:tplc="6AA248F2" w:tentative="1">
      <w:start w:val="1"/>
      <w:numFmt w:val="bullet"/>
      <w:lvlText w:val=""/>
      <w:lvlJc w:val="left"/>
      <w:pPr>
        <w:tabs>
          <w:tab w:val="num" w:pos="1440"/>
        </w:tabs>
        <w:ind w:left="1440" w:hanging="360"/>
      </w:pPr>
      <w:rPr>
        <w:rFonts w:hint="default" w:ascii="Symbol" w:hAnsi="Symbol"/>
      </w:rPr>
    </w:lvl>
    <w:lvl w:ilvl="2" w:tplc="C2FE0ABE" w:tentative="1">
      <w:start w:val="1"/>
      <w:numFmt w:val="bullet"/>
      <w:lvlText w:val=""/>
      <w:lvlJc w:val="left"/>
      <w:pPr>
        <w:tabs>
          <w:tab w:val="num" w:pos="2160"/>
        </w:tabs>
        <w:ind w:left="2160" w:hanging="360"/>
      </w:pPr>
      <w:rPr>
        <w:rFonts w:hint="default" w:ascii="Symbol" w:hAnsi="Symbol"/>
      </w:rPr>
    </w:lvl>
    <w:lvl w:ilvl="3" w:tplc="5BC4C0FE" w:tentative="1">
      <w:start w:val="1"/>
      <w:numFmt w:val="bullet"/>
      <w:lvlText w:val=""/>
      <w:lvlJc w:val="left"/>
      <w:pPr>
        <w:tabs>
          <w:tab w:val="num" w:pos="2880"/>
        </w:tabs>
        <w:ind w:left="2880" w:hanging="360"/>
      </w:pPr>
      <w:rPr>
        <w:rFonts w:hint="default" w:ascii="Symbol" w:hAnsi="Symbol"/>
      </w:rPr>
    </w:lvl>
    <w:lvl w:ilvl="4" w:tplc="7C46EE00" w:tentative="1">
      <w:start w:val="1"/>
      <w:numFmt w:val="bullet"/>
      <w:lvlText w:val=""/>
      <w:lvlJc w:val="left"/>
      <w:pPr>
        <w:tabs>
          <w:tab w:val="num" w:pos="3600"/>
        </w:tabs>
        <w:ind w:left="3600" w:hanging="360"/>
      </w:pPr>
      <w:rPr>
        <w:rFonts w:hint="default" w:ascii="Symbol" w:hAnsi="Symbol"/>
      </w:rPr>
    </w:lvl>
    <w:lvl w:ilvl="5" w:tplc="2E4C867A" w:tentative="1">
      <w:start w:val="1"/>
      <w:numFmt w:val="bullet"/>
      <w:lvlText w:val=""/>
      <w:lvlJc w:val="left"/>
      <w:pPr>
        <w:tabs>
          <w:tab w:val="num" w:pos="4320"/>
        </w:tabs>
        <w:ind w:left="4320" w:hanging="360"/>
      </w:pPr>
      <w:rPr>
        <w:rFonts w:hint="default" w:ascii="Symbol" w:hAnsi="Symbol"/>
      </w:rPr>
    </w:lvl>
    <w:lvl w:ilvl="6" w:tplc="56264832" w:tentative="1">
      <w:start w:val="1"/>
      <w:numFmt w:val="bullet"/>
      <w:lvlText w:val=""/>
      <w:lvlJc w:val="left"/>
      <w:pPr>
        <w:tabs>
          <w:tab w:val="num" w:pos="5040"/>
        </w:tabs>
        <w:ind w:left="5040" w:hanging="360"/>
      </w:pPr>
      <w:rPr>
        <w:rFonts w:hint="default" w:ascii="Symbol" w:hAnsi="Symbol"/>
      </w:rPr>
    </w:lvl>
    <w:lvl w:ilvl="7" w:tplc="23443A5C" w:tentative="1">
      <w:start w:val="1"/>
      <w:numFmt w:val="bullet"/>
      <w:lvlText w:val=""/>
      <w:lvlJc w:val="left"/>
      <w:pPr>
        <w:tabs>
          <w:tab w:val="num" w:pos="5760"/>
        </w:tabs>
        <w:ind w:left="5760" w:hanging="360"/>
      </w:pPr>
      <w:rPr>
        <w:rFonts w:hint="default" w:ascii="Symbol" w:hAnsi="Symbol"/>
      </w:rPr>
    </w:lvl>
    <w:lvl w:ilvl="8" w:tplc="37E247BE" w:tentative="1">
      <w:start w:val="1"/>
      <w:numFmt w:val="bullet"/>
      <w:lvlText w:val=""/>
      <w:lvlJc w:val="left"/>
      <w:pPr>
        <w:tabs>
          <w:tab w:val="num" w:pos="6480"/>
        </w:tabs>
        <w:ind w:left="6480" w:hanging="360"/>
      </w:pPr>
      <w:rPr>
        <w:rFonts w:hint="default" w:ascii="Symbol" w:hAnsi="Symbol"/>
      </w:rPr>
    </w:lvl>
  </w:abstractNum>
  <w:abstractNum w:abstractNumId="26" w15:restartNumberingAfterBreak="0">
    <w:nsid w:val="58B73482"/>
    <w:multiLevelType w:val="hybridMultilevel"/>
    <w:tmpl w:val="1EF86890"/>
    <w:lvl w:ilvl="0" w:tplc="08090001">
      <w:start w:val="1"/>
      <w:numFmt w:val="bullet"/>
      <w:lvlText w:val=""/>
      <w:lvlJc w:val="left"/>
      <w:pPr>
        <w:ind w:left="936" w:hanging="360"/>
      </w:pPr>
      <w:rPr>
        <w:rFonts w:hint="default" w:ascii="Symbol" w:hAnsi="Symbol"/>
      </w:rPr>
    </w:lvl>
    <w:lvl w:ilvl="1" w:tplc="04190003">
      <w:start w:val="1"/>
      <w:numFmt w:val="bullet"/>
      <w:lvlText w:val="o"/>
      <w:lvlJc w:val="left"/>
      <w:pPr>
        <w:ind w:left="1656" w:hanging="360"/>
      </w:pPr>
      <w:rPr>
        <w:rFonts w:hint="default" w:ascii="Courier New" w:hAnsi="Courier New" w:cs="Courier New"/>
      </w:rPr>
    </w:lvl>
    <w:lvl w:ilvl="2" w:tplc="04190005">
      <w:start w:val="1"/>
      <w:numFmt w:val="bullet"/>
      <w:lvlText w:val=""/>
      <w:lvlJc w:val="left"/>
      <w:pPr>
        <w:ind w:left="2376" w:hanging="360"/>
      </w:pPr>
      <w:rPr>
        <w:rFonts w:hint="default" w:ascii="Wingdings" w:hAnsi="Wingdings"/>
      </w:rPr>
    </w:lvl>
    <w:lvl w:ilvl="3" w:tplc="04190001">
      <w:start w:val="1"/>
      <w:numFmt w:val="bullet"/>
      <w:lvlText w:val=""/>
      <w:lvlJc w:val="left"/>
      <w:pPr>
        <w:ind w:left="3096" w:hanging="360"/>
      </w:pPr>
      <w:rPr>
        <w:rFonts w:hint="default" w:ascii="Symbol" w:hAnsi="Symbol"/>
      </w:rPr>
    </w:lvl>
    <w:lvl w:ilvl="4" w:tplc="04190003" w:tentative="1">
      <w:start w:val="1"/>
      <w:numFmt w:val="bullet"/>
      <w:lvlText w:val="o"/>
      <w:lvlJc w:val="left"/>
      <w:pPr>
        <w:ind w:left="3816" w:hanging="360"/>
      </w:pPr>
      <w:rPr>
        <w:rFonts w:hint="default" w:ascii="Courier New" w:hAnsi="Courier New" w:cs="Courier New"/>
      </w:rPr>
    </w:lvl>
    <w:lvl w:ilvl="5" w:tplc="04190005" w:tentative="1">
      <w:start w:val="1"/>
      <w:numFmt w:val="bullet"/>
      <w:lvlText w:val=""/>
      <w:lvlJc w:val="left"/>
      <w:pPr>
        <w:ind w:left="4536" w:hanging="360"/>
      </w:pPr>
      <w:rPr>
        <w:rFonts w:hint="default" w:ascii="Wingdings" w:hAnsi="Wingdings"/>
      </w:rPr>
    </w:lvl>
    <w:lvl w:ilvl="6" w:tplc="04190001" w:tentative="1">
      <w:start w:val="1"/>
      <w:numFmt w:val="bullet"/>
      <w:lvlText w:val=""/>
      <w:lvlJc w:val="left"/>
      <w:pPr>
        <w:ind w:left="5256" w:hanging="360"/>
      </w:pPr>
      <w:rPr>
        <w:rFonts w:hint="default" w:ascii="Symbol" w:hAnsi="Symbol"/>
      </w:rPr>
    </w:lvl>
    <w:lvl w:ilvl="7" w:tplc="04190003" w:tentative="1">
      <w:start w:val="1"/>
      <w:numFmt w:val="bullet"/>
      <w:lvlText w:val="o"/>
      <w:lvlJc w:val="left"/>
      <w:pPr>
        <w:ind w:left="5976" w:hanging="360"/>
      </w:pPr>
      <w:rPr>
        <w:rFonts w:hint="default" w:ascii="Courier New" w:hAnsi="Courier New" w:cs="Courier New"/>
      </w:rPr>
    </w:lvl>
    <w:lvl w:ilvl="8" w:tplc="04190005" w:tentative="1">
      <w:start w:val="1"/>
      <w:numFmt w:val="bullet"/>
      <w:lvlText w:val=""/>
      <w:lvlJc w:val="left"/>
      <w:pPr>
        <w:ind w:left="6696" w:hanging="360"/>
      </w:pPr>
      <w:rPr>
        <w:rFonts w:hint="default" w:ascii="Wingdings" w:hAnsi="Wingdings"/>
      </w:rPr>
    </w:lvl>
  </w:abstractNum>
  <w:abstractNum w:abstractNumId="27" w15:restartNumberingAfterBreak="0">
    <w:nsid w:val="647B095A"/>
    <w:multiLevelType w:val="hybridMultilevel"/>
    <w:tmpl w:val="E84402F4"/>
    <w:lvl w:ilvl="0" w:tplc="04090001">
      <w:start w:val="1"/>
      <w:numFmt w:val="bullet"/>
      <w:lvlText w:val=""/>
      <w:lvlJc w:val="left"/>
      <w:pPr>
        <w:ind w:left="360" w:hanging="360"/>
      </w:pPr>
      <w:rPr>
        <w:rFonts w:hint="default" w:ascii="Symbol" w:hAnsi="Symbol"/>
      </w:rPr>
    </w:lvl>
    <w:lvl w:ilvl="1" w:tplc="38882A00">
      <w:start w:val="4"/>
      <w:numFmt w:val="bullet"/>
      <w:lvlText w:val="-"/>
      <w:lvlJc w:val="left"/>
      <w:pPr>
        <w:ind w:left="1620" w:hanging="360"/>
      </w:pPr>
      <w:rPr>
        <w:rFonts w:hint="default" w:ascii="Times New Roman" w:hAnsi="Times New Roman" w:eastAsia="Times New Roman" w:cs="Times New Roman"/>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390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0" w15:restartNumberingAfterBreak="0">
    <w:nsid w:val="69036189"/>
    <w:multiLevelType w:val="hybridMultilevel"/>
    <w:tmpl w:val="ACE2D7A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7102394E"/>
    <w:multiLevelType w:val="multilevel"/>
    <w:tmpl w:val="7102394E"/>
    <w:lvl w:ilvl="0">
      <w:start w:val="1"/>
      <w:numFmt w:val="bullet"/>
      <w:lvlText w:val="–"/>
      <w:lvlJc w:val="left"/>
      <w:pPr>
        <w:ind w:left="800" w:hanging="400"/>
      </w:pPr>
      <w:rPr>
        <w:rFonts w:hint="default" w:ascii="Arial" w:hAnsi="Arial" w:cs="Times New Roman"/>
      </w:rPr>
    </w:lvl>
    <w:lvl w:ilvl="1">
      <w:start w:val="1"/>
      <w:numFmt w:val="bullet"/>
      <w:lvlText w:val=""/>
      <w:lvlJc w:val="left"/>
      <w:pPr>
        <w:ind w:left="1200" w:hanging="400"/>
      </w:pPr>
      <w:rPr>
        <w:rFonts w:hint="default" w:ascii="Wingdings" w:hAnsi="Wingdings"/>
      </w:rPr>
    </w:lvl>
    <w:lvl w:ilvl="2">
      <w:start w:val="1"/>
      <w:numFmt w:val="bullet"/>
      <w:lvlText w:val="•"/>
      <w:lvlJc w:val="left"/>
      <w:pPr>
        <w:ind w:left="1600" w:hanging="400"/>
      </w:pPr>
      <w:rPr>
        <w:rFonts w:hint="default" w:ascii="Arial" w:hAnsi="Arial" w:cs="Times New Roman"/>
      </w:rPr>
    </w:lvl>
    <w:lvl w:ilvl="3">
      <w:start w:val="1"/>
      <w:numFmt w:val="bullet"/>
      <w:lvlText w:val=""/>
      <w:lvlJc w:val="left"/>
      <w:pPr>
        <w:ind w:left="2000" w:hanging="400"/>
      </w:pPr>
      <w:rPr>
        <w:rFonts w:hint="default" w:ascii="Wingdings" w:hAnsi="Wingdings"/>
      </w:rPr>
    </w:lvl>
    <w:lvl w:ilvl="4">
      <w:start w:val="1"/>
      <w:numFmt w:val="bullet"/>
      <w:lvlText w:val=""/>
      <w:lvlJc w:val="left"/>
      <w:pPr>
        <w:ind w:left="2400" w:hanging="400"/>
      </w:pPr>
      <w:rPr>
        <w:rFonts w:hint="default" w:ascii="Wingdings" w:hAnsi="Wingdings"/>
      </w:rPr>
    </w:lvl>
    <w:lvl w:ilvl="5">
      <w:start w:val="1"/>
      <w:numFmt w:val="bullet"/>
      <w:lvlText w:val=""/>
      <w:lvlJc w:val="left"/>
      <w:pPr>
        <w:ind w:left="2800" w:hanging="400"/>
      </w:pPr>
      <w:rPr>
        <w:rFonts w:hint="default" w:ascii="Wingdings" w:hAnsi="Wingdings"/>
      </w:rPr>
    </w:lvl>
    <w:lvl w:ilvl="6">
      <w:start w:val="1"/>
      <w:numFmt w:val="bullet"/>
      <w:lvlText w:val=""/>
      <w:lvlJc w:val="left"/>
      <w:pPr>
        <w:ind w:left="3200" w:hanging="400"/>
      </w:pPr>
      <w:rPr>
        <w:rFonts w:hint="default" w:ascii="Wingdings" w:hAnsi="Wingdings"/>
      </w:rPr>
    </w:lvl>
    <w:lvl w:ilvl="7">
      <w:start w:val="1"/>
      <w:numFmt w:val="bullet"/>
      <w:lvlText w:val=""/>
      <w:lvlJc w:val="left"/>
      <w:pPr>
        <w:ind w:left="3600" w:hanging="400"/>
      </w:pPr>
      <w:rPr>
        <w:rFonts w:hint="default" w:ascii="Wingdings" w:hAnsi="Wingdings"/>
      </w:rPr>
    </w:lvl>
    <w:lvl w:ilvl="8">
      <w:start w:val="1"/>
      <w:numFmt w:val="bullet"/>
      <w:lvlText w:val=""/>
      <w:lvlJc w:val="left"/>
      <w:pPr>
        <w:ind w:left="4000" w:hanging="400"/>
      </w:pPr>
      <w:rPr>
        <w:rFonts w:hint="default" w:ascii="Wingdings" w:hAnsi="Wingdings"/>
      </w:rPr>
    </w:lvl>
  </w:abstractNum>
  <w:abstractNum w:abstractNumId="32" w15:restartNumberingAfterBreak="0">
    <w:nsid w:val="72125DE3"/>
    <w:multiLevelType w:val="multilevel"/>
    <w:tmpl w:val="72125DE3"/>
    <w:lvl w:ilvl="0">
      <w:start w:val="1"/>
      <w:numFmt w:val="bullet"/>
      <w:lvlText w:val="–"/>
      <w:lvlJc w:val="left"/>
      <w:pPr>
        <w:ind w:left="800" w:hanging="400"/>
      </w:pPr>
      <w:rPr>
        <w:rFonts w:hint="default" w:ascii="Arial" w:hAnsi="Arial" w:cs="Times New Roman"/>
      </w:rPr>
    </w:lvl>
    <w:lvl w:ilvl="1">
      <w:start w:val="1"/>
      <w:numFmt w:val="bullet"/>
      <w:lvlText w:val=""/>
      <w:lvlJc w:val="left"/>
      <w:pPr>
        <w:ind w:left="1200" w:hanging="400"/>
      </w:pPr>
      <w:rPr>
        <w:rFonts w:hint="default" w:ascii="Wingdings" w:hAnsi="Wingdings"/>
      </w:rPr>
    </w:lvl>
    <w:lvl w:ilvl="2">
      <w:start w:val="1"/>
      <w:numFmt w:val="bullet"/>
      <w:lvlText w:val=""/>
      <w:lvlJc w:val="left"/>
      <w:pPr>
        <w:ind w:left="1600" w:hanging="400"/>
      </w:pPr>
      <w:rPr>
        <w:rFonts w:hint="default" w:ascii="Wingdings" w:hAnsi="Wingdings"/>
      </w:rPr>
    </w:lvl>
    <w:lvl w:ilvl="3">
      <w:start w:val="1"/>
      <w:numFmt w:val="bullet"/>
      <w:lvlText w:val=""/>
      <w:lvlJc w:val="left"/>
      <w:pPr>
        <w:ind w:left="2000" w:hanging="400"/>
      </w:pPr>
      <w:rPr>
        <w:rFonts w:hint="default" w:ascii="Wingdings" w:hAnsi="Wingdings"/>
      </w:rPr>
    </w:lvl>
    <w:lvl w:ilvl="4">
      <w:start w:val="1"/>
      <w:numFmt w:val="bullet"/>
      <w:lvlText w:val=""/>
      <w:lvlJc w:val="left"/>
      <w:pPr>
        <w:ind w:left="2400" w:hanging="400"/>
      </w:pPr>
      <w:rPr>
        <w:rFonts w:hint="default" w:ascii="Wingdings" w:hAnsi="Wingdings"/>
      </w:rPr>
    </w:lvl>
    <w:lvl w:ilvl="5">
      <w:start w:val="1"/>
      <w:numFmt w:val="bullet"/>
      <w:lvlText w:val=""/>
      <w:lvlJc w:val="left"/>
      <w:pPr>
        <w:ind w:left="2800" w:hanging="400"/>
      </w:pPr>
      <w:rPr>
        <w:rFonts w:hint="default" w:ascii="Wingdings" w:hAnsi="Wingdings"/>
      </w:rPr>
    </w:lvl>
    <w:lvl w:ilvl="6">
      <w:start w:val="1"/>
      <w:numFmt w:val="bullet"/>
      <w:lvlText w:val=""/>
      <w:lvlJc w:val="left"/>
      <w:pPr>
        <w:ind w:left="3200" w:hanging="400"/>
      </w:pPr>
      <w:rPr>
        <w:rFonts w:hint="default" w:ascii="Wingdings" w:hAnsi="Wingdings"/>
      </w:rPr>
    </w:lvl>
    <w:lvl w:ilvl="7">
      <w:start w:val="1"/>
      <w:numFmt w:val="bullet"/>
      <w:lvlText w:val=""/>
      <w:lvlJc w:val="left"/>
      <w:pPr>
        <w:ind w:left="3600" w:hanging="400"/>
      </w:pPr>
      <w:rPr>
        <w:rFonts w:hint="default" w:ascii="Wingdings" w:hAnsi="Wingdings"/>
      </w:rPr>
    </w:lvl>
    <w:lvl w:ilvl="8">
      <w:start w:val="1"/>
      <w:numFmt w:val="bullet"/>
      <w:lvlText w:val=""/>
      <w:lvlJc w:val="left"/>
      <w:pPr>
        <w:ind w:left="4000" w:hanging="400"/>
      </w:pPr>
      <w:rPr>
        <w:rFonts w:hint="default" w:ascii="Wingdings" w:hAnsi="Wingdings"/>
      </w:rPr>
    </w:lvl>
  </w:abstractNum>
  <w:abstractNum w:abstractNumId="33" w15:restartNumberingAfterBreak="0">
    <w:nsid w:val="721B4654"/>
    <w:multiLevelType w:val="hybridMultilevel"/>
    <w:tmpl w:val="16B229FC"/>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num w:numId="1">
    <w:abstractNumId w:val="23"/>
  </w:num>
  <w:num w:numId="2">
    <w:abstractNumId w:val="2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1"/>
  </w:num>
  <w:num w:numId="6">
    <w:abstractNumId w:val="4"/>
  </w:num>
  <w:num w:numId="7">
    <w:abstractNumId w:val="13"/>
  </w:num>
  <w:num w:numId="8">
    <w:abstractNumId w:val="33"/>
  </w:num>
  <w:num w:numId="9">
    <w:abstractNumId w:val="10"/>
  </w:num>
  <w:num w:numId="10">
    <w:abstractNumId w:val="4"/>
  </w:num>
  <w:num w:numId="11">
    <w:abstractNumId w:val="2"/>
  </w:num>
  <w:num w:numId="12">
    <w:abstractNumId w:val="2"/>
  </w:num>
  <w:num w:numId="13">
    <w:abstractNumId w:val="20"/>
  </w:num>
  <w:num w:numId="14">
    <w:abstractNumId w:val="32"/>
  </w:num>
  <w:num w:numId="15">
    <w:abstractNumId w:val="31"/>
  </w:num>
  <w:num w:numId="16">
    <w:abstractNumId w:val="26"/>
  </w:num>
  <w:num w:numId="17">
    <w:abstractNumId w:val="3"/>
  </w:num>
  <w:num w:numId="18">
    <w:abstractNumId w:val="24"/>
  </w:num>
  <w:num w:numId="19">
    <w:abstractNumId w:val="29"/>
  </w:num>
  <w:num w:numId="20">
    <w:abstractNumId w:val="16"/>
  </w:num>
  <w:num w:numId="21">
    <w:abstractNumId w:val="27"/>
  </w:num>
  <w:num w:numId="22">
    <w:abstractNumId w:val="9"/>
  </w:num>
  <w:num w:numId="23">
    <w:abstractNumId w:val="12"/>
  </w:num>
  <w:num w:numId="24">
    <w:abstractNumId w:val="25"/>
  </w:num>
  <w:num w:numId="25">
    <w:abstractNumId w:val="8"/>
  </w:num>
  <w:num w:numId="26">
    <w:abstractNumId w:val="30"/>
  </w:num>
  <w:num w:numId="27">
    <w:abstractNumId w:val="24"/>
  </w:num>
  <w:num w:numId="28">
    <w:abstractNumId w:val="22"/>
  </w:num>
  <w:num w:numId="29">
    <w:abstractNumId w:val="15"/>
  </w:num>
  <w:num w:numId="30">
    <w:abstractNumId w:val="26"/>
  </w:num>
  <w:num w:numId="31">
    <w:abstractNumId w:val="6"/>
  </w:num>
  <w:num w:numId="32">
    <w:abstractNumId w:val="7"/>
  </w:num>
  <w:num w:numId="33">
    <w:abstractNumId w:val="18"/>
  </w:num>
  <w:num w:numId="34">
    <w:abstractNumId w:val="2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4"/>
  </w:num>
  <w:num w:numId="39">
    <w:abstractNumId w:val="11"/>
  </w:num>
  <w:num w:numId="40">
    <w:abstractNumId w:val="5"/>
  </w:num>
  <w:num w:numId="41">
    <w:abstractNumId w:val="17"/>
  </w:num>
  <w:num w:numId="42">
    <w:abstractNumId w:val="0"/>
  </w:num>
  <w:num w:numId="43">
    <w:abstractNumId w:val="28"/>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trackRevisions w:val="false"/>
  <w:defaultTabStop w:val="720"/>
  <w:hyphenationZone w:val="425"/>
  <w:characterSpacingControl w:val="doNotCompress"/>
  <w:hdrShapeDefaults>
    <o:shapedefaults v:ext="edit" spidmax="634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DD8"/>
    <w:rsid w:val="00005228"/>
    <w:rsid w:val="000054B9"/>
    <w:rsid w:val="00005EBE"/>
    <w:rsid w:val="00011976"/>
    <w:rsid w:val="00013531"/>
    <w:rsid w:val="0001498B"/>
    <w:rsid w:val="00015B4D"/>
    <w:rsid w:val="0003235C"/>
    <w:rsid w:val="00037320"/>
    <w:rsid w:val="000436F4"/>
    <w:rsid w:val="000438B7"/>
    <w:rsid w:val="00052B13"/>
    <w:rsid w:val="0005540F"/>
    <w:rsid w:val="00064713"/>
    <w:rsid w:val="00067013"/>
    <w:rsid w:val="0007437E"/>
    <w:rsid w:val="00077D74"/>
    <w:rsid w:val="0008169A"/>
    <w:rsid w:val="00084AFD"/>
    <w:rsid w:val="00085A91"/>
    <w:rsid w:val="00086063"/>
    <w:rsid w:val="00090729"/>
    <w:rsid w:val="00091024"/>
    <w:rsid w:val="00091DDA"/>
    <w:rsid w:val="00093ED3"/>
    <w:rsid w:val="00096DBA"/>
    <w:rsid w:val="000A3C67"/>
    <w:rsid w:val="000B1FB8"/>
    <w:rsid w:val="000B260B"/>
    <w:rsid w:val="000B2CD1"/>
    <w:rsid w:val="000B4FD7"/>
    <w:rsid w:val="000C45C5"/>
    <w:rsid w:val="000D3470"/>
    <w:rsid w:val="000D350B"/>
    <w:rsid w:val="000D4DEA"/>
    <w:rsid w:val="000E19EC"/>
    <w:rsid w:val="000E412C"/>
    <w:rsid w:val="000E6170"/>
    <w:rsid w:val="000E79D5"/>
    <w:rsid w:val="000F3AF7"/>
    <w:rsid w:val="000F6D5F"/>
    <w:rsid w:val="00100F9F"/>
    <w:rsid w:val="00103C38"/>
    <w:rsid w:val="001065EE"/>
    <w:rsid w:val="001102A7"/>
    <w:rsid w:val="00113B42"/>
    <w:rsid w:val="00122311"/>
    <w:rsid w:val="00126EAB"/>
    <w:rsid w:val="00130022"/>
    <w:rsid w:val="00133C83"/>
    <w:rsid w:val="00143444"/>
    <w:rsid w:val="00143BB0"/>
    <w:rsid w:val="00153607"/>
    <w:rsid w:val="0015452C"/>
    <w:rsid w:val="0016402B"/>
    <w:rsid w:val="00165286"/>
    <w:rsid w:val="001739BD"/>
    <w:rsid w:val="0017433E"/>
    <w:rsid w:val="00181907"/>
    <w:rsid w:val="0018633A"/>
    <w:rsid w:val="00186A45"/>
    <w:rsid w:val="00193FB6"/>
    <w:rsid w:val="001950E6"/>
    <w:rsid w:val="001967EF"/>
    <w:rsid w:val="00196C8C"/>
    <w:rsid w:val="001A285D"/>
    <w:rsid w:val="001A6F54"/>
    <w:rsid w:val="001A7A63"/>
    <w:rsid w:val="001B2F0B"/>
    <w:rsid w:val="001B37FF"/>
    <w:rsid w:val="001B4D3B"/>
    <w:rsid w:val="001B505A"/>
    <w:rsid w:val="001C3010"/>
    <w:rsid w:val="001C46B5"/>
    <w:rsid w:val="001C6960"/>
    <w:rsid w:val="001D0F13"/>
    <w:rsid w:val="001D2338"/>
    <w:rsid w:val="001D488B"/>
    <w:rsid w:val="001D5DF5"/>
    <w:rsid w:val="001E0AFA"/>
    <w:rsid w:val="001F37A7"/>
    <w:rsid w:val="001F50AC"/>
    <w:rsid w:val="002052B9"/>
    <w:rsid w:val="00207678"/>
    <w:rsid w:val="00211487"/>
    <w:rsid w:val="00212176"/>
    <w:rsid w:val="00212FCF"/>
    <w:rsid w:val="00213B1E"/>
    <w:rsid w:val="00215CA3"/>
    <w:rsid w:val="00217C72"/>
    <w:rsid w:val="00220052"/>
    <w:rsid w:val="002258BB"/>
    <w:rsid w:val="00230E08"/>
    <w:rsid w:val="002335B4"/>
    <w:rsid w:val="00234D98"/>
    <w:rsid w:val="00236BF5"/>
    <w:rsid w:val="0023766D"/>
    <w:rsid w:val="002404F1"/>
    <w:rsid w:val="00242852"/>
    <w:rsid w:val="00250ADC"/>
    <w:rsid w:val="00253300"/>
    <w:rsid w:val="00254D45"/>
    <w:rsid w:val="00255F49"/>
    <w:rsid w:val="00264EE5"/>
    <w:rsid w:val="00271190"/>
    <w:rsid w:val="00272B63"/>
    <w:rsid w:val="0027327E"/>
    <w:rsid w:val="00273A98"/>
    <w:rsid w:val="00274E27"/>
    <w:rsid w:val="0028194F"/>
    <w:rsid w:val="00282E06"/>
    <w:rsid w:val="0028384E"/>
    <w:rsid w:val="00284171"/>
    <w:rsid w:val="00284F41"/>
    <w:rsid w:val="00284FD6"/>
    <w:rsid w:val="0029021A"/>
    <w:rsid w:val="00295A79"/>
    <w:rsid w:val="00296099"/>
    <w:rsid w:val="002A029D"/>
    <w:rsid w:val="002A1A76"/>
    <w:rsid w:val="002A327D"/>
    <w:rsid w:val="002A45EF"/>
    <w:rsid w:val="002A7E6D"/>
    <w:rsid w:val="002B0134"/>
    <w:rsid w:val="002B0EC3"/>
    <w:rsid w:val="002B5153"/>
    <w:rsid w:val="002B6EC0"/>
    <w:rsid w:val="002C10A2"/>
    <w:rsid w:val="002C4026"/>
    <w:rsid w:val="002C4742"/>
    <w:rsid w:val="002C59FC"/>
    <w:rsid w:val="002C70FD"/>
    <w:rsid w:val="002D06C8"/>
    <w:rsid w:val="002D4BD3"/>
    <w:rsid w:val="002D5B86"/>
    <w:rsid w:val="002D7B17"/>
    <w:rsid w:val="002E1391"/>
    <w:rsid w:val="002E3EDE"/>
    <w:rsid w:val="002E4A60"/>
    <w:rsid w:val="002E4D83"/>
    <w:rsid w:val="002E65B6"/>
    <w:rsid w:val="002E6868"/>
    <w:rsid w:val="00301D89"/>
    <w:rsid w:val="003031FA"/>
    <w:rsid w:val="0030362C"/>
    <w:rsid w:val="00307F09"/>
    <w:rsid w:val="003127C7"/>
    <w:rsid w:val="003233F9"/>
    <w:rsid w:val="00324A9E"/>
    <w:rsid w:val="00324B2E"/>
    <w:rsid w:val="0032787E"/>
    <w:rsid w:val="003278B1"/>
    <w:rsid w:val="0033399E"/>
    <w:rsid w:val="00336023"/>
    <w:rsid w:val="00336E46"/>
    <w:rsid w:val="00340563"/>
    <w:rsid w:val="003443DC"/>
    <w:rsid w:val="00344F3E"/>
    <w:rsid w:val="00346E2A"/>
    <w:rsid w:val="00351F82"/>
    <w:rsid w:val="003559A6"/>
    <w:rsid w:val="00363903"/>
    <w:rsid w:val="003643B7"/>
    <w:rsid w:val="00365616"/>
    <w:rsid w:val="00370102"/>
    <w:rsid w:val="00370520"/>
    <w:rsid w:val="00371DBC"/>
    <w:rsid w:val="003753CA"/>
    <w:rsid w:val="003808E7"/>
    <w:rsid w:val="0038323B"/>
    <w:rsid w:val="00386B55"/>
    <w:rsid w:val="00387311"/>
    <w:rsid w:val="003922ED"/>
    <w:rsid w:val="00393443"/>
    <w:rsid w:val="00393B72"/>
    <w:rsid w:val="00396783"/>
    <w:rsid w:val="003970A2"/>
    <w:rsid w:val="003979FA"/>
    <w:rsid w:val="003A1EFC"/>
    <w:rsid w:val="003A3C8A"/>
    <w:rsid w:val="003A6873"/>
    <w:rsid w:val="003A74E5"/>
    <w:rsid w:val="003A7B8D"/>
    <w:rsid w:val="003C0732"/>
    <w:rsid w:val="003C239E"/>
    <w:rsid w:val="003C54D9"/>
    <w:rsid w:val="003D0B9B"/>
    <w:rsid w:val="003D1C7A"/>
    <w:rsid w:val="003D3ECD"/>
    <w:rsid w:val="003D3F24"/>
    <w:rsid w:val="003E3E47"/>
    <w:rsid w:val="003E6400"/>
    <w:rsid w:val="003E79A2"/>
    <w:rsid w:val="003F38D3"/>
    <w:rsid w:val="003F47F2"/>
    <w:rsid w:val="003F4D06"/>
    <w:rsid w:val="004017B6"/>
    <w:rsid w:val="004017D7"/>
    <w:rsid w:val="00407DFA"/>
    <w:rsid w:val="00410161"/>
    <w:rsid w:val="00410887"/>
    <w:rsid w:val="00411DEB"/>
    <w:rsid w:val="00413442"/>
    <w:rsid w:val="00417D05"/>
    <w:rsid w:val="004220AC"/>
    <w:rsid w:val="004241AC"/>
    <w:rsid w:val="0042521D"/>
    <w:rsid w:val="0044254D"/>
    <w:rsid w:val="004429F7"/>
    <w:rsid w:val="00447C9A"/>
    <w:rsid w:val="004504CE"/>
    <w:rsid w:val="004519FD"/>
    <w:rsid w:val="004554FB"/>
    <w:rsid w:val="00464014"/>
    <w:rsid w:val="00464FCA"/>
    <w:rsid w:val="0046570C"/>
    <w:rsid w:val="00465962"/>
    <w:rsid w:val="00473595"/>
    <w:rsid w:val="00475DCB"/>
    <w:rsid w:val="00476510"/>
    <w:rsid w:val="0047659F"/>
    <w:rsid w:val="004829F9"/>
    <w:rsid w:val="0048422A"/>
    <w:rsid w:val="0048525F"/>
    <w:rsid w:val="00485A45"/>
    <w:rsid w:val="00486482"/>
    <w:rsid w:val="00493BD4"/>
    <w:rsid w:val="004A0727"/>
    <w:rsid w:val="004A5096"/>
    <w:rsid w:val="004A6212"/>
    <w:rsid w:val="004B01BF"/>
    <w:rsid w:val="004B6909"/>
    <w:rsid w:val="004B6A5E"/>
    <w:rsid w:val="004B79C8"/>
    <w:rsid w:val="004B7EF2"/>
    <w:rsid w:val="004C3D17"/>
    <w:rsid w:val="004C4055"/>
    <w:rsid w:val="004C479D"/>
    <w:rsid w:val="004D6F30"/>
    <w:rsid w:val="004E71B1"/>
    <w:rsid w:val="004F1579"/>
    <w:rsid w:val="004F327D"/>
    <w:rsid w:val="004F7CAA"/>
    <w:rsid w:val="005000AE"/>
    <w:rsid w:val="005007AD"/>
    <w:rsid w:val="00504E24"/>
    <w:rsid w:val="00506A86"/>
    <w:rsid w:val="005116B9"/>
    <w:rsid w:val="00516F99"/>
    <w:rsid w:val="00523602"/>
    <w:rsid w:val="005244B1"/>
    <w:rsid w:val="00525C64"/>
    <w:rsid w:val="00525DF5"/>
    <w:rsid w:val="00526188"/>
    <w:rsid w:val="005278B1"/>
    <w:rsid w:val="0053005C"/>
    <w:rsid w:val="005303CB"/>
    <w:rsid w:val="00533F34"/>
    <w:rsid w:val="00537061"/>
    <w:rsid w:val="00537848"/>
    <w:rsid w:val="00541EB9"/>
    <w:rsid w:val="00541FC0"/>
    <w:rsid w:val="00542A4D"/>
    <w:rsid w:val="00542D2C"/>
    <w:rsid w:val="00545B5A"/>
    <w:rsid w:val="005524DE"/>
    <w:rsid w:val="00553096"/>
    <w:rsid w:val="005627D7"/>
    <w:rsid w:val="00564390"/>
    <w:rsid w:val="005713ED"/>
    <w:rsid w:val="005739B7"/>
    <w:rsid w:val="0057612E"/>
    <w:rsid w:val="00580880"/>
    <w:rsid w:val="00581E33"/>
    <w:rsid w:val="00591085"/>
    <w:rsid w:val="005937D6"/>
    <w:rsid w:val="005A0E8A"/>
    <w:rsid w:val="005A652C"/>
    <w:rsid w:val="005B3917"/>
    <w:rsid w:val="005B5F5D"/>
    <w:rsid w:val="005C37FD"/>
    <w:rsid w:val="005C55A8"/>
    <w:rsid w:val="005C5838"/>
    <w:rsid w:val="005D2291"/>
    <w:rsid w:val="005D3F6A"/>
    <w:rsid w:val="005D42AB"/>
    <w:rsid w:val="005D5265"/>
    <w:rsid w:val="005D6759"/>
    <w:rsid w:val="005E374B"/>
    <w:rsid w:val="005E4C83"/>
    <w:rsid w:val="005E5889"/>
    <w:rsid w:val="005E5FB0"/>
    <w:rsid w:val="005F0CE5"/>
    <w:rsid w:val="005F248C"/>
    <w:rsid w:val="00606D5F"/>
    <w:rsid w:val="00610AAF"/>
    <w:rsid w:val="00612499"/>
    <w:rsid w:val="00623C39"/>
    <w:rsid w:val="00624C11"/>
    <w:rsid w:val="00625070"/>
    <w:rsid w:val="00625594"/>
    <w:rsid w:val="0063264A"/>
    <w:rsid w:val="00633A91"/>
    <w:rsid w:val="006379FA"/>
    <w:rsid w:val="0064798E"/>
    <w:rsid w:val="00657F72"/>
    <w:rsid w:val="006605F2"/>
    <w:rsid w:val="006639E6"/>
    <w:rsid w:val="0066422B"/>
    <w:rsid w:val="00665DFC"/>
    <w:rsid w:val="006700FD"/>
    <w:rsid w:val="006847E0"/>
    <w:rsid w:val="00687AA6"/>
    <w:rsid w:val="00690944"/>
    <w:rsid w:val="00692731"/>
    <w:rsid w:val="006949AC"/>
    <w:rsid w:val="00694F6D"/>
    <w:rsid w:val="00696EE2"/>
    <w:rsid w:val="00697DB6"/>
    <w:rsid w:val="006A078B"/>
    <w:rsid w:val="006B12CE"/>
    <w:rsid w:val="006B22BC"/>
    <w:rsid w:val="006B4804"/>
    <w:rsid w:val="006D0094"/>
    <w:rsid w:val="006D0CA5"/>
    <w:rsid w:val="006D2FA8"/>
    <w:rsid w:val="006E10FA"/>
    <w:rsid w:val="006E6343"/>
    <w:rsid w:val="006F350D"/>
    <w:rsid w:val="006F35A9"/>
    <w:rsid w:val="00712677"/>
    <w:rsid w:val="0071336D"/>
    <w:rsid w:val="00716E72"/>
    <w:rsid w:val="00716E98"/>
    <w:rsid w:val="00724639"/>
    <w:rsid w:val="00724F4B"/>
    <w:rsid w:val="00726EB5"/>
    <w:rsid w:val="007272C7"/>
    <w:rsid w:val="0073125D"/>
    <w:rsid w:val="0073282B"/>
    <w:rsid w:val="00734752"/>
    <w:rsid w:val="007454B9"/>
    <w:rsid w:val="00754AF8"/>
    <w:rsid w:val="00761848"/>
    <w:rsid w:val="0076337B"/>
    <w:rsid w:val="0076515A"/>
    <w:rsid w:val="00765F55"/>
    <w:rsid w:val="00766AF3"/>
    <w:rsid w:val="00774B6A"/>
    <w:rsid w:val="007755B2"/>
    <w:rsid w:val="00775D92"/>
    <w:rsid w:val="0078010B"/>
    <w:rsid w:val="00781EED"/>
    <w:rsid w:val="007832B1"/>
    <w:rsid w:val="00791291"/>
    <w:rsid w:val="007931C2"/>
    <w:rsid w:val="007A327C"/>
    <w:rsid w:val="007B23F6"/>
    <w:rsid w:val="007B245D"/>
    <w:rsid w:val="007B7A05"/>
    <w:rsid w:val="007C3893"/>
    <w:rsid w:val="007C3D54"/>
    <w:rsid w:val="007C6CE5"/>
    <w:rsid w:val="007D0ADE"/>
    <w:rsid w:val="007D6F08"/>
    <w:rsid w:val="007F26A0"/>
    <w:rsid w:val="007F349C"/>
    <w:rsid w:val="007F59C5"/>
    <w:rsid w:val="00802926"/>
    <w:rsid w:val="00802B88"/>
    <w:rsid w:val="008078DC"/>
    <w:rsid w:val="00813321"/>
    <w:rsid w:val="008216C6"/>
    <w:rsid w:val="00821F2A"/>
    <w:rsid w:val="0082523D"/>
    <w:rsid w:val="008270BB"/>
    <w:rsid w:val="00830886"/>
    <w:rsid w:val="00830A59"/>
    <w:rsid w:val="00831E81"/>
    <w:rsid w:val="00832183"/>
    <w:rsid w:val="00842EF2"/>
    <w:rsid w:val="008500D1"/>
    <w:rsid w:val="00851083"/>
    <w:rsid w:val="00851E95"/>
    <w:rsid w:val="008544D0"/>
    <w:rsid w:val="008565DA"/>
    <w:rsid w:val="00857C0C"/>
    <w:rsid w:val="00860574"/>
    <w:rsid w:val="00862B30"/>
    <w:rsid w:val="008652A8"/>
    <w:rsid w:val="00876F7B"/>
    <w:rsid w:val="008859B1"/>
    <w:rsid w:val="00890818"/>
    <w:rsid w:val="0089150E"/>
    <w:rsid w:val="0089617C"/>
    <w:rsid w:val="008A2EB8"/>
    <w:rsid w:val="008A48F8"/>
    <w:rsid w:val="008A4913"/>
    <w:rsid w:val="008A4F84"/>
    <w:rsid w:val="008A6FA9"/>
    <w:rsid w:val="008B0890"/>
    <w:rsid w:val="008C36EB"/>
    <w:rsid w:val="008C568D"/>
    <w:rsid w:val="008C678C"/>
    <w:rsid w:val="008D0AB1"/>
    <w:rsid w:val="008D18C8"/>
    <w:rsid w:val="008D1BE3"/>
    <w:rsid w:val="008D2A2B"/>
    <w:rsid w:val="008D38CE"/>
    <w:rsid w:val="008D3B00"/>
    <w:rsid w:val="008D3DBF"/>
    <w:rsid w:val="008D3F8C"/>
    <w:rsid w:val="008D5F69"/>
    <w:rsid w:val="008E03B8"/>
    <w:rsid w:val="008E383E"/>
    <w:rsid w:val="008E479A"/>
    <w:rsid w:val="008F1B4B"/>
    <w:rsid w:val="008F7DD8"/>
    <w:rsid w:val="00903FEE"/>
    <w:rsid w:val="0090610F"/>
    <w:rsid w:val="00907979"/>
    <w:rsid w:val="0091713B"/>
    <w:rsid w:val="009221CF"/>
    <w:rsid w:val="00922D68"/>
    <w:rsid w:val="00924DB8"/>
    <w:rsid w:val="00925D33"/>
    <w:rsid w:val="009300BA"/>
    <w:rsid w:val="00935B61"/>
    <w:rsid w:val="009419BD"/>
    <w:rsid w:val="0094234D"/>
    <w:rsid w:val="00944194"/>
    <w:rsid w:val="0095595D"/>
    <w:rsid w:val="00961C85"/>
    <w:rsid w:val="009635B5"/>
    <w:rsid w:val="0096710A"/>
    <w:rsid w:val="00967E55"/>
    <w:rsid w:val="009708FA"/>
    <w:rsid w:val="009713E6"/>
    <w:rsid w:val="00971483"/>
    <w:rsid w:val="009744AF"/>
    <w:rsid w:val="00975B72"/>
    <w:rsid w:val="009820C9"/>
    <w:rsid w:val="00983E27"/>
    <w:rsid w:val="009845F3"/>
    <w:rsid w:val="009A1254"/>
    <w:rsid w:val="009A22A3"/>
    <w:rsid w:val="009A264D"/>
    <w:rsid w:val="009A2A04"/>
    <w:rsid w:val="009A44BD"/>
    <w:rsid w:val="009A48CD"/>
    <w:rsid w:val="009B00F1"/>
    <w:rsid w:val="009B2EF5"/>
    <w:rsid w:val="009B5F91"/>
    <w:rsid w:val="009C10E5"/>
    <w:rsid w:val="009C3974"/>
    <w:rsid w:val="009C6517"/>
    <w:rsid w:val="009D20F0"/>
    <w:rsid w:val="009E0D7B"/>
    <w:rsid w:val="009E201C"/>
    <w:rsid w:val="009E38B6"/>
    <w:rsid w:val="009E6C14"/>
    <w:rsid w:val="009E77C6"/>
    <w:rsid w:val="009F6174"/>
    <w:rsid w:val="009F731E"/>
    <w:rsid w:val="00A006F5"/>
    <w:rsid w:val="00A01265"/>
    <w:rsid w:val="00A046F8"/>
    <w:rsid w:val="00A06DD1"/>
    <w:rsid w:val="00A10676"/>
    <w:rsid w:val="00A15005"/>
    <w:rsid w:val="00A2235D"/>
    <w:rsid w:val="00A235D5"/>
    <w:rsid w:val="00A238FE"/>
    <w:rsid w:val="00A241C4"/>
    <w:rsid w:val="00A24845"/>
    <w:rsid w:val="00A33190"/>
    <w:rsid w:val="00A33C0D"/>
    <w:rsid w:val="00A36076"/>
    <w:rsid w:val="00A370A4"/>
    <w:rsid w:val="00A37F6C"/>
    <w:rsid w:val="00A41E6B"/>
    <w:rsid w:val="00A438AC"/>
    <w:rsid w:val="00A505B6"/>
    <w:rsid w:val="00A50BB2"/>
    <w:rsid w:val="00A5140B"/>
    <w:rsid w:val="00A52746"/>
    <w:rsid w:val="00A61375"/>
    <w:rsid w:val="00A628FE"/>
    <w:rsid w:val="00A7386E"/>
    <w:rsid w:val="00A74645"/>
    <w:rsid w:val="00A77060"/>
    <w:rsid w:val="00A85F0D"/>
    <w:rsid w:val="00A90B93"/>
    <w:rsid w:val="00A90D0E"/>
    <w:rsid w:val="00A949DD"/>
    <w:rsid w:val="00A9679D"/>
    <w:rsid w:val="00A96FF6"/>
    <w:rsid w:val="00AA3620"/>
    <w:rsid w:val="00AA77CC"/>
    <w:rsid w:val="00AA79EC"/>
    <w:rsid w:val="00AA7F7D"/>
    <w:rsid w:val="00AB064B"/>
    <w:rsid w:val="00AC09CD"/>
    <w:rsid w:val="00AC0BBF"/>
    <w:rsid w:val="00AC18DF"/>
    <w:rsid w:val="00AC334F"/>
    <w:rsid w:val="00AC38BF"/>
    <w:rsid w:val="00AC56E5"/>
    <w:rsid w:val="00AC6E20"/>
    <w:rsid w:val="00AD1B53"/>
    <w:rsid w:val="00AD42E4"/>
    <w:rsid w:val="00AD73E0"/>
    <w:rsid w:val="00AE1E19"/>
    <w:rsid w:val="00AE5778"/>
    <w:rsid w:val="00AF5489"/>
    <w:rsid w:val="00B07909"/>
    <w:rsid w:val="00B07B97"/>
    <w:rsid w:val="00B1057E"/>
    <w:rsid w:val="00B1446C"/>
    <w:rsid w:val="00B1466C"/>
    <w:rsid w:val="00B167F4"/>
    <w:rsid w:val="00B17403"/>
    <w:rsid w:val="00B17C5D"/>
    <w:rsid w:val="00B23481"/>
    <w:rsid w:val="00B24A69"/>
    <w:rsid w:val="00B24BD6"/>
    <w:rsid w:val="00B336BE"/>
    <w:rsid w:val="00B33BD3"/>
    <w:rsid w:val="00B34B93"/>
    <w:rsid w:val="00B35009"/>
    <w:rsid w:val="00B431F3"/>
    <w:rsid w:val="00B43435"/>
    <w:rsid w:val="00B4387D"/>
    <w:rsid w:val="00B45E68"/>
    <w:rsid w:val="00B51382"/>
    <w:rsid w:val="00B53971"/>
    <w:rsid w:val="00B54810"/>
    <w:rsid w:val="00B651AD"/>
    <w:rsid w:val="00B658ED"/>
    <w:rsid w:val="00B66638"/>
    <w:rsid w:val="00B67051"/>
    <w:rsid w:val="00B71072"/>
    <w:rsid w:val="00B80394"/>
    <w:rsid w:val="00B90931"/>
    <w:rsid w:val="00B910B0"/>
    <w:rsid w:val="00B91803"/>
    <w:rsid w:val="00B95506"/>
    <w:rsid w:val="00BA3DCD"/>
    <w:rsid w:val="00BB05A5"/>
    <w:rsid w:val="00BB1040"/>
    <w:rsid w:val="00BB170C"/>
    <w:rsid w:val="00BC1592"/>
    <w:rsid w:val="00BC2A75"/>
    <w:rsid w:val="00BC59AE"/>
    <w:rsid w:val="00BD0636"/>
    <w:rsid w:val="00BD1321"/>
    <w:rsid w:val="00BD1D4D"/>
    <w:rsid w:val="00BD30DB"/>
    <w:rsid w:val="00BD4717"/>
    <w:rsid w:val="00BD7BD8"/>
    <w:rsid w:val="00BF1803"/>
    <w:rsid w:val="00BF1F90"/>
    <w:rsid w:val="00BF201B"/>
    <w:rsid w:val="00BF60FB"/>
    <w:rsid w:val="00C020C4"/>
    <w:rsid w:val="00C056F5"/>
    <w:rsid w:val="00C0786F"/>
    <w:rsid w:val="00C0787E"/>
    <w:rsid w:val="00C10103"/>
    <w:rsid w:val="00C1150E"/>
    <w:rsid w:val="00C14E10"/>
    <w:rsid w:val="00C16513"/>
    <w:rsid w:val="00C17523"/>
    <w:rsid w:val="00C20D01"/>
    <w:rsid w:val="00C2164A"/>
    <w:rsid w:val="00C26D46"/>
    <w:rsid w:val="00C26F75"/>
    <w:rsid w:val="00C308F9"/>
    <w:rsid w:val="00C3450A"/>
    <w:rsid w:val="00C359D5"/>
    <w:rsid w:val="00C37046"/>
    <w:rsid w:val="00C40CF3"/>
    <w:rsid w:val="00C43395"/>
    <w:rsid w:val="00C467D7"/>
    <w:rsid w:val="00C46B44"/>
    <w:rsid w:val="00C62BF8"/>
    <w:rsid w:val="00C62EED"/>
    <w:rsid w:val="00C63D43"/>
    <w:rsid w:val="00C672B5"/>
    <w:rsid w:val="00C673EB"/>
    <w:rsid w:val="00C73E33"/>
    <w:rsid w:val="00C75225"/>
    <w:rsid w:val="00C80FE4"/>
    <w:rsid w:val="00C82526"/>
    <w:rsid w:val="00C847AA"/>
    <w:rsid w:val="00C908D5"/>
    <w:rsid w:val="00CA1F4E"/>
    <w:rsid w:val="00CA3EDD"/>
    <w:rsid w:val="00CA4B01"/>
    <w:rsid w:val="00CA61D3"/>
    <w:rsid w:val="00CA79DB"/>
    <w:rsid w:val="00CA7C4B"/>
    <w:rsid w:val="00CB13CC"/>
    <w:rsid w:val="00CB1741"/>
    <w:rsid w:val="00CB3389"/>
    <w:rsid w:val="00CC3F42"/>
    <w:rsid w:val="00CC44C9"/>
    <w:rsid w:val="00CC52EA"/>
    <w:rsid w:val="00CD1D0C"/>
    <w:rsid w:val="00CD242D"/>
    <w:rsid w:val="00CD3804"/>
    <w:rsid w:val="00CD4BCC"/>
    <w:rsid w:val="00CE22B2"/>
    <w:rsid w:val="00CE34CE"/>
    <w:rsid w:val="00CE52D4"/>
    <w:rsid w:val="00CE575D"/>
    <w:rsid w:val="00CF5711"/>
    <w:rsid w:val="00D1370C"/>
    <w:rsid w:val="00D17A54"/>
    <w:rsid w:val="00D214A2"/>
    <w:rsid w:val="00D21C42"/>
    <w:rsid w:val="00D33FFC"/>
    <w:rsid w:val="00D351D8"/>
    <w:rsid w:val="00D427CF"/>
    <w:rsid w:val="00D42F2F"/>
    <w:rsid w:val="00D44637"/>
    <w:rsid w:val="00D50F1F"/>
    <w:rsid w:val="00D522CF"/>
    <w:rsid w:val="00D528AE"/>
    <w:rsid w:val="00D620A8"/>
    <w:rsid w:val="00D6473D"/>
    <w:rsid w:val="00D675FA"/>
    <w:rsid w:val="00D70F80"/>
    <w:rsid w:val="00D73A9F"/>
    <w:rsid w:val="00D74A18"/>
    <w:rsid w:val="00D91149"/>
    <w:rsid w:val="00D92E01"/>
    <w:rsid w:val="00DA1012"/>
    <w:rsid w:val="00DA3D8C"/>
    <w:rsid w:val="00DA4DD8"/>
    <w:rsid w:val="00DA5358"/>
    <w:rsid w:val="00DA7219"/>
    <w:rsid w:val="00DB3219"/>
    <w:rsid w:val="00DB3907"/>
    <w:rsid w:val="00DC0380"/>
    <w:rsid w:val="00DC2A0A"/>
    <w:rsid w:val="00DC4128"/>
    <w:rsid w:val="00DC57AB"/>
    <w:rsid w:val="00DC7927"/>
    <w:rsid w:val="00DD1F46"/>
    <w:rsid w:val="00DD68F9"/>
    <w:rsid w:val="00DE6670"/>
    <w:rsid w:val="00DE6C8E"/>
    <w:rsid w:val="00DF1957"/>
    <w:rsid w:val="00DF7650"/>
    <w:rsid w:val="00E01BC8"/>
    <w:rsid w:val="00E02CB2"/>
    <w:rsid w:val="00E02CEA"/>
    <w:rsid w:val="00E04617"/>
    <w:rsid w:val="00E05535"/>
    <w:rsid w:val="00E14D42"/>
    <w:rsid w:val="00E20949"/>
    <w:rsid w:val="00E2153A"/>
    <w:rsid w:val="00E24E13"/>
    <w:rsid w:val="00E32146"/>
    <w:rsid w:val="00E32440"/>
    <w:rsid w:val="00E43F3B"/>
    <w:rsid w:val="00E47074"/>
    <w:rsid w:val="00E518B8"/>
    <w:rsid w:val="00E5256C"/>
    <w:rsid w:val="00E527D3"/>
    <w:rsid w:val="00E54063"/>
    <w:rsid w:val="00E564C6"/>
    <w:rsid w:val="00E679E1"/>
    <w:rsid w:val="00E67FC7"/>
    <w:rsid w:val="00E719AE"/>
    <w:rsid w:val="00E723C5"/>
    <w:rsid w:val="00E726F0"/>
    <w:rsid w:val="00E73586"/>
    <w:rsid w:val="00E73C9D"/>
    <w:rsid w:val="00E76E9A"/>
    <w:rsid w:val="00E82285"/>
    <w:rsid w:val="00E87321"/>
    <w:rsid w:val="00EB14D2"/>
    <w:rsid w:val="00EB1844"/>
    <w:rsid w:val="00EB2676"/>
    <w:rsid w:val="00EB64B2"/>
    <w:rsid w:val="00EC0EF2"/>
    <w:rsid w:val="00EC39C3"/>
    <w:rsid w:val="00EC64BC"/>
    <w:rsid w:val="00ED237E"/>
    <w:rsid w:val="00ED461B"/>
    <w:rsid w:val="00ED6D73"/>
    <w:rsid w:val="00EE28F8"/>
    <w:rsid w:val="00EE4133"/>
    <w:rsid w:val="00EE51FC"/>
    <w:rsid w:val="00EE642A"/>
    <w:rsid w:val="00EF326F"/>
    <w:rsid w:val="00EF7679"/>
    <w:rsid w:val="00F0509E"/>
    <w:rsid w:val="00F07379"/>
    <w:rsid w:val="00F12EED"/>
    <w:rsid w:val="00F146EC"/>
    <w:rsid w:val="00F16844"/>
    <w:rsid w:val="00F16C81"/>
    <w:rsid w:val="00F2270C"/>
    <w:rsid w:val="00F234C4"/>
    <w:rsid w:val="00F23B0B"/>
    <w:rsid w:val="00F25A09"/>
    <w:rsid w:val="00F25EB7"/>
    <w:rsid w:val="00F269F6"/>
    <w:rsid w:val="00F278F2"/>
    <w:rsid w:val="00F31A5A"/>
    <w:rsid w:val="00F332F4"/>
    <w:rsid w:val="00F338A9"/>
    <w:rsid w:val="00F43296"/>
    <w:rsid w:val="00F541AD"/>
    <w:rsid w:val="00F56A8D"/>
    <w:rsid w:val="00F6219A"/>
    <w:rsid w:val="00F624DD"/>
    <w:rsid w:val="00F74476"/>
    <w:rsid w:val="00F76F92"/>
    <w:rsid w:val="00F81463"/>
    <w:rsid w:val="00F84160"/>
    <w:rsid w:val="00F848BA"/>
    <w:rsid w:val="00F84C7E"/>
    <w:rsid w:val="00F870B7"/>
    <w:rsid w:val="00F916B4"/>
    <w:rsid w:val="00F939EC"/>
    <w:rsid w:val="00F9473B"/>
    <w:rsid w:val="00F94A32"/>
    <w:rsid w:val="00F94EED"/>
    <w:rsid w:val="00FA4E0A"/>
    <w:rsid w:val="00FB11BB"/>
    <w:rsid w:val="00FB3EA9"/>
    <w:rsid w:val="00FB6B7E"/>
    <w:rsid w:val="00FC1E5A"/>
    <w:rsid w:val="00FC33F9"/>
    <w:rsid w:val="00FC4CC5"/>
    <w:rsid w:val="00FC5B71"/>
    <w:rsid w:val="00FD19FF"/>
    <w:rsid w:val="00FD27D1"/>
    <w:rsid w:val="00FD33F6"/>
    <w:rsid w:val="00FD40DF"/>
    <w:rsid w:val="00FE245E"/>
    <w:rsid w:val="00FE268D"/>
    <w:rsid w:val="00FE37AC"/>
    <w:rsid w:val="00FE4365"/>
    <w:rsid w:val="00FE6F45"/>
    <w:rsid w:val="013526D5"/>
    <w:rsid w:val="0296DCBA"/>
    <w:rsid w:val="03B1DF40"/>
    <w:rsid w:val="0408C291"/>
    <w:rsid w:val="05162EA0"/>
    <w:rsid w:val="05263A87"/>
    <w:rsid w:val="06A7AC9C"/>
    <w:rsid w:val="096AC699"/>
    <w:rsid w:val="09D606F0"/>
    <w:rsid w:val="09F3C2F0"/>
    <w:rsid w:val="0A4C353B"/>
    <w:rsid w:val="0A9D47D8"/>
    <w:rsid w:val="0E87238E"/>
    <w:rsid w:val="0FAB0673"/>
    <w:rsid w:val="112E9056"/>
    <w:rsid w:val="1135B184"/>
    <w:rsid w:val="11FF0D3F"/>
    <w:rsid w:val="16D48FA0"/>
    <w:rsid w:val="18693E9D"/>
    <w:rsid w:val="191912E5"/>
    <w:rsid w:val="197048BA"/>
    <w:rsid w:val="1A6932EC"/>
    <w:rsid w:val="1B7A2912"/>
    <w:rsid w:val="1C9B680B"/>
    <w:rsid w:val="1CEDAA72"/>
    <w:rsid w:val="1E42B927"/>
    <w:rsid w:val="1F37BFAE"/>
    <w:rsid w:val="2213C9AF"/>
    <w:rsid w:val="223D53D6"/>
    <w:rsid w:val="22A17884"/>
    <w:rsid w:val="237F0D4C"/>
    <w:rsid w:val="23826097"/>
    <w:rsid w:val="238F90E5"/>
    <w:rsid w:val="23AD1F8F"/>
    <w:rsid w:val="26D0B8DF"/>
    <w:rsid w:val="28AF13C1"/>
    <w:rsid w:val="28FD496C"/>
    <w:rsid w:val="2A7B1DF4"/>
    <w:rsid w:val="2A9FBE1B"/>
    <w:rsid w:val="2B2A0AFB"/>
    <w:rsid w:val="2B7319A9"/>
    <w:rsid w:val="2D3D0F73"/>
    <w:rsid w:val="2E2E8C95"/>
    <w:rsid w:val="2FB61D33"/>
    <w:rsid w:val="309A577B"/>
    <w:rsid w:val="374A0BDF"/>
    <w:rsid w:val="37A2B017"/>
    <w:rsid w:val="37C52F3D"/>
    <w:rsid w:val="390C2359"/>
    <w:rsid w:val="39A13316"/>
    <w:rsid w:val="3A68F572"/>
    <w:rsid w:val="3B11B55C"/>
    <w:rsid w:val="3BACDA76"/>
    <w:rsid w:val="3C9D5D40"/>
    <w:rsid w:val="3D0EE882"/>
    <w:rsid w:val="3EC39FA3"/>
    <w:rsid w:val="43757EE6"/>
    <w:rsid w:val="47764EEF"/>
    <w:rsid w:val="48EC6D29"/>
    <w:rsid w:val="4B3EF999"/>
    <w:rsid w:val="4B5AE130"/>
    <w:rsid w:val="4B87F2BE"/>
    <w:rsid w:val="4D30CEA8"/>
    <w:rsid w:val="4EE5D05F"/>
    <w:rsid w:val="505E45C4"/>
    <w:rsid w:val="541938C8"/>
    <w:rsid w:val="54B57123"/>
    <w:rsid w:val="54E3A47D"/>
    <w:rsid w:val="55009618"/>
    <w:rsid w:val="554C66C3"/>
    <w:rsid w:val="55A1875F"/>
    <w:rsid w:val="569D1CBA"/>
    <w:rsid w:val="56A75B05"/>
    <w:rsid w:val="570A445E"/>
    <w:rsid w:val="58D79C02"/>
    <w:rsid w:val="59BAA4E2"/>
    <w:rsid w:val="5B8C2999"/>
    <w:rsid w:val="5C2E84E6"/>
    <w:rsid w:val="5DA24098"/>
    <w:rsid w:val="5EF99CF7"/>
    <w:rsid w:val="5F340BBE"/>
    <w:rsid w:val="6203473A"/>
    <w:rsid w:val="6419753B"/>
    <w:rsid w:val="64F735AC"/>
    <w:rsid w:val="65F93375"/>
    <w:rsid w:val="67AD5F76"/>
    <w:rsid w:val="6903D62F"/>
    <w:rsid w:val="6958EEFF"/>
    <w:rsid w:val="6ADF2B76"/>
    <w:rsid w:val="6CAB5093"/>
    <w:rsid w:val="70EC9918"/>
    <w:rsid w:val="716AF0A5"/>
    <w:rsid w:val="717E0DCB"/>
    <w:rsid w:val="718A9CCF"/>
    <w:rsid w:val="72B26385"/>
    <w:rsid w:val="7371460F"/>
    <w:rsid w:val="73E48CB9"/>
    <w:rsid w:val="73EB2943"/>
    <w:rsid w:val="74CABA17"/>
    <w:rsid w:val="75212F63"/>
    <w:rsid w:val="75A3761F"/>
    <w:rsid w:val="766A6AB6"/>
    <w:rsid w:val="774795C5"/>
    <w:rsid w:val="774E8111"/>
    <w:rsid w:val="7B6B4B1D"/>
    <w:rsid w:val="7CC4E152"/>
    <w:rsid w:val="7EFF9B18"/>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8EAE906"/>
  <w15:chartTrackingRefBased/>
  <w15:docId w15:val="{C3F42009-3684-4BF0-8DC8-2A48B423185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EastAsia"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A264D"/>
    <w:rPr>
      <w:rFonts w:ascii="Times New Roman" w:hAnsi="Times New Roman" w:eastAsiaTheme="minorHAnsi"/>
      <w:sz w:val="20"/>
      <w:lang w:eastAsia="en-US"/>
    </w:rPr>
  </w:style>
  <w:style w:type="paragraph" w:styleId="Heading1">
    <w:name w:val="heading 1"/>
    <w:aliases w:val="H1,NMP Heading 1,h1,app heading 1,l1,Memo Heading 1,h11,h12,h13,h14,h15,h16,h17,h111,h121,h131,h141,h151,h161,h18,h112,h122,h132,h142,h152,h162,h19,h113,h123,h133,h143,h153,h163,Section of paper,Heading 1_a,Huvudrubrik,heading 1,Titre§,Char"/>
    <w:basedOn w:val="Normal"/>
    <w:next w:val="Normal"/>
    <w:link w:val="Heading1Char"/>
    <w:qFormat/>
    <w:rsid w:val="008F7DD8"/>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F7DD8"/>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5278B1"/>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Heading3"/>
    <w:next w:val="Normal"/>
    <w:link w:val="Heading4Char"/>
    <w:qFormat/>
    <w:rsid w:val="005278B1"/>
    <w:pPr>
      <w:spacing w:before="120" w:after="180" w:line="240" w:lineRule="auto"/>
      <w:ind w:left="1005" w:hanging="864"/>
      <w:outlineLvl w:val="3"/>
    </w:pPr>
    <w:rPr>
      <w:rFonts w:ascii="Arial" w:hAnsi="Arial" w:eastAsia="SimSun" w:cs="Times New Roman"/>
      <w:color w:val="auto"/>
      <w:szCs w:val="18"/>
      <w:lang w:val="sv-SE" w:eastAsia="zh-CN"/>
    </w:rPr>
  </w:style>
  <w:style w:type="paragraph" w:styleId="Heading5">
    <w:name w:val="heading 5"/>
    <w:basedOn w:val="Heading4"/>
    <w:next w:val="Normal"/>
    <w:link w:val="Heading5Char"/>
    <w:qFormat/>
    <w:rsid w:val="005278B1"/>
    <w:pPr>
      <w:ind w:left="1008" w:hanging="1008"/>
      <w:outlineLvl w:val="4"/>
    </w:pPr>
    <w:rPr>
      <w:sz w:val="22"/>
    </w:rPr>
  </w:style>
  <w:style w:type="paragraph" w:styleId="Heading6">
    <w:name w:val="heading 6"/>
    <w:basedOn w:val="Normal"/>
    <w:next w:val="Normal"/>
    <w:link w:val="Heading6Char"/>
    <w:qFormat/>
    <w:rsid w:val="005278B1"/>
    <w:pPr>
      <w:keepNext/>
      <w:keepLines/>
      <w:spacing w:before="120" w:after="180" w:line="240" w:lineRule="auto"/>
      <w:ind w:left="1152" w:hanging="1152"/>
      <w:outlineLvl w:val="5"/>
    </w:pPr>
    <w:rPr>
      <w:rFonts w:ascii="Arial" w:hAnsi="Arial" w:eastAsia="SimSun" w:cs="Times New Roman"/>
      <w:szCs w:val="18"/>
      <w:lang w:val="sv-SE" w:eastAsia="zh-CN"/>
    </w:rPr>
  </w:style>
  <w:style w:type="paragraph" w:styleId="Heading7">
    <w:name w:val="heading 7"/>
    <w:basedOn w:val="Normal"/>
    <w:next w:val="Normal"/>
    <w:link w:val="Heading7Char"/>
    <w:qFormat/>
    <w:rsid w:val="005278B1"/>
    <w:pPr>
      <w:keepNext/>
      <w:keepLines/>
      <w:spacing w:before="120" w:after="180" w:line="240" w:lineRule="auto"/>
      <w:ind w:left="1296" w:hanging="1296"/>
      <w:outlineLvl w:val="6"/>
    </w:pPr>
    <w:rPr>
      <w:rFonts w:ascii="Arial" w:hAnsi="Arial" w:eastAsia="SimSun" w:cs="Times New Roman"/>
      <w:szCs w:val="18"/>
      <w:lang w:val="sv-SE" w:eastAsia="zh-CN"/>
    </w:rPr>
  </w:style>
  <w:style w:type="paragraph" w:styleId="Heading8">
    <w:name w:val="heading 8"/>
    <w:basedOn w:val="Heading1"/>
    <w:next w:val="Normal"/>
    <w:link w:val="Heading8Char"/>
    <w:qFormat/>
    <w:rsid w:val="005278B1"/>
    <w:pPr>
      <w:pBdr>
        <w:top w:val="single" w:color="auto" w:sz="12" w:space="3"/>
      </w:pBdr>
      <w:spacing w:after="180" w:line="240" w:lineRule="auto"/>
      <w:ind w:left="1440" w:hanging="1440"/>
      <w:outlineLvl w:val="7"/>
    </w:pPr>
    <w:rPr>
      <w:rFonts w:ascii="Arial" w:hAnsi="Arial" w:eastAsia="SimSun" w:cs="Times New Roman"/>
      <w:color w:val="auto"/>
      <w:sz w:val="36"/>
      <w:szCs w:val="20"/>
      <w:lang w:val="sv-SE"/>
    </w:rPr>
  </w:style>
  <w:style w:type="paragraph" w:styleId="Heading9">
    <w:name w:val="heading 9"/>
    <w:basedOn w:val="Heading8"/>
    <w:next w:val="Normal"/>
    <w:link w:val="Heading9Char"/>
    <w:qFormat/>
    <w:rsid w:val="005278B1"/>
    <w:pPr>
      <w:ind w:left="1584" w:hanging="1584"/>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8F7DD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F7DD8"/>
    <w:rPr>
      <w:rFonts w:ascii="Segoe UI" w:hAnsi="Segoe UI" w:cs="Segoe UI"/>
      <w:sz w:val="18"/>
      <w:szCs w:val="18"/>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8F7DD8"/>
    <w:pPr>
      <w:ind w:left="720"/>
      <w:contextualSpacing/>
    </w:pPr>
  </w:style>
  <w:style w:type="paragraph" w:styleId="RAN4H2" w:customStyle="1">
    <w:name w:val="RAN4 H2"/>
    <w:basedOn w:val="Heading2"/>
    <w:next w:val="Normal"/>
    <w:link w:val="RAN4H2Char"/>
    <w:qFormat/>
    <w:rsid w:val="008F7DD8"/>
    <w:pPr>
      <w:numPr>
        <w:ilvl w:val="1"/>
        <w:numId w:val="2"/>
      </w:numPr>
      <w:spacing w:before="180" w:after="180" w:line="240" w:lineRule="auto"/>
    </w:pPr>
    <w:rPr>
      <w:rFonts w:ascii="Arial" w:hAnsi="Arial" w:eastAsia="Times New Roman" w:cs="Times New Roman"/>
      <w:sz w:val="32"/>
      <w:szCs w:val="20"/>
    </w:rPr>
  </w:style>
  <w:style w:type="paragraph" w:styleId="RAN4H1" w:customStyle="1">
    <w:name w:val="RAN4 H1"/>
    <w:basedOn w:val="Normal"/>
    <w:next w:val="Normal"/>
    <w:link w:val="RAN4H1Char"/>
    <w:qFormat/>
    <w:rsid w:val="008F7DD8"/>
    <w:pPr>
      <w:keepNext/>
      <w:keepLines/>
      <w:numPr>
        <w:numId w:val="2"/>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sz w:val="36"/>
      <w:szCs w:val="20"/>
      <w:lang w:val="en-GB"/>
    </w:rPr>
  </w:style>
  <w:style w:type="character" w:styleId="RAN4H2Char" w:customStyle="1">
    <w:name w:val="RAN4 H2 Char"/>
    <w:basedOn w:val="Heading2Char"/>
    <w:link w:val="RAN4H2"/>
    <w:rsid w:val="008F7DD8"/>
    <w:rPr>
      <w:rFonts w:ascii="Arial" w:hAnsi="Arial" w:eastAsia="Times New Roman" w:cs="Times New Roman"/>
      <w:color w:val="2F5496" w:themeColor="accent1" w:themeShade="BF"/>
      <w:sz w:val="32"/>
      <w:szCs w:val="20"/>
      <w:lang w:eastAsia="en-US"/>
    </w:rPr>
  </w:style>
  <w:style w:type="character" w:styleId="RAN4H1Char" w:customStyle="1">
    <w:name w:val="RAN4 H1 Char"/>
    <w:basedOn w:val="DefaultParagraphFont"/>
    <w:link w:val="RAN4H1"/>
    <w:rsid w:val="008F7DD8"/>
    <w:rPr>
      <w:rFonts w:ascii="Arial" w:hAnsi="Arial" w:eastAsia="SimSun" w:cs="Times New Roman"/>
      <w:sz w:val="36"/>
      <w:szCs w:val="20"/>
      <w:lang w:val="en-GB" w:eastAsia="en-US"/>
    </w:rPr>
  </w:style>
  <w:style w:type="character" w:styleId="ListParagraphChar" w:customStyle="1">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rsid w:val="008F7DD8"/>
    <w:rPr>
      <w:rFonts w:ascii="Times New Roman" w:hAnsi="Times New Roman" w:eastAsiaTheme="minorHAnsi"/>
      <w:sz w:val="20"/>
      <w:lang w:eastAsia="en-US"/>
    </w:rPr>
  </w:style>
  <w:style w:type="paragraph" w:styleId="RAN4proposal" w:customStyle="1">
    <w:name w:val="RAN4 proposal"/>
    <w:basedOn w:val="Caption"/>
    <w:next w:val="Normal"/>
    <w:link w:val="RAN4proposalChar"/>
    <w:qFormat/>
    <w:rsid w:val="008F7DD8"/>
    <w:pPr>
      <w:numPr>
        <w:numId w:val="1"/>
      </w:numPr>
      <w:ind w:left="0" w:firstLine="0"/>
    </w:pPr>
    <w:rPr>
      <w:b/>
      <w:i w:val="0"/>
      <w:color w:val="auto"/>
      <w:sz w:val="20"/>
    </w:rPr>
  </w:style>
  <w:style w:type="character" w:styleId="RAN4proposalChar" w:customStyle="1">
    <w:name w:val="RAN4 proposal Char"/>
    <w:basedOn w:val="DefaultParagraphFont"/>
    <w:link w:val="RAN4proposal"/>
    <w:rsid w:val="008F7DD8"/>
    <w:rPr>
      <w:rFonts w:ascii="Times New Roman" w:hAnsi="Times New Roman" w:eastAsiaTheme="minorHAnsi"/>
      <w:b/>
      <w:iCs/>
      <w:sz w:val="20"/>
      <w:szCs w:val="18"/>
      <w:lang w:eastAsia="en-US"/>
    </w:rPr>
  </w:style>
  <w:style w:type="paragraph" w:styleId="RAN4H3" w:customStyle="1">
    <w:name w:val="RAN4 H3"/>
    <w:basedOn w:val="Normal"/>
    <w:qFormat/>
    <w:rsid w:val="008F7DD8"/>
    <w:pPr>
      <w:numPr>
        <w:ilvl w:val="2"/>
        <w:numId w:val="2"/>
      </w:numPr>
      <w:ind w:left="2160" w:hanging="360"/>
    </w:pPr>
    <w:rPr>
      <w:rFonts w:ascii="Arial" w:hAnsi="Arial" w:cs="Arial"/>
      <w:sz w:val="24"/>
    </w:rPr>
  </w:style>
  <w:style w:type="character" w:styleId="CommentReference">
    <w:name w:val="annotation reference"/>
    <w:uiPriority w:val="99"/>
    <w:semiHidden/>
    <w:rsid w:val="008F7DD8"/>
    <w:rPr>
      <w:sz w:val="16"/>
      <w:szCs w:val="16"/>
    </w:rPr>
  </w:style>
  <w:style w:type="paragraph" w:styleId="CommentText">
    <w:name w:val="annotation text"/>
    <w:basedOn w:val="Normal"/>
    <w:link w:val="CommentTextChar"/>
    <w:uiPriority w:val="99"/>
    <w:semiHidden/>
    <w:rsid w:val="008F7DD8"/>
    <w:pPr>
      <w:overflowPunct w:val="0"/>
      <w:autoSpaceDE w:val="0"/>
      <w:autoSpaceDN w:val="0"/>
      <w:adjustRightInd w:val="0"/>
      <w:spacing w:after="180" w:line="240" w:lineRule="auto"/>
      <w:textAlignment w:val="baseline"/>
    </w:pPr>
    <w:rPr>
      <w:rFonts w:eastAsia="SimSun" w:cs="Times New Roman"/>
      <w:szCs w:val="20"/>
      <w:lang w:val="en-GB" w:eastAsia="en-GB"/>
    </w:rPr>
  </w:style>
  <w:style w:type="character" w:styleId="CommentTextChar" w:customStyle="1">
    <w:name w:val="Comment Text Char"/>
    <w:basedOn w:val="DefaultParagraphFont"/>
    <w:link w:val="CommentText"/>
    <w:uiPriority w:val="99"/>
    <w:semiHidden/>
    <w:rsid w:val="008F7DD8"/>
    <w:rPr>
      <w:rFonts w:ascii="Times New Roman" w:hAnsi="Times New Roman" w:eastAsia="SimSun" w:cs="Times New Roman"/>
      <w:sz w:val="20"/>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8F7DD8"/>
    <w:pPr>
      <w:tabs>
        <w:tab w:val="center" w:pos="4680"/>
        <w:tab w:val="right" w:pos="9360"/>
      </w:tabs>
      <w:spacing w:after="0" w:line="240" w:lineRule="auto"/>
    </w:p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7DD8"/>
    <w:rPr>
      <w:rFonts w:ascii="Times New Roman" w:hAnsi="Times New Roman" w:eastAsiaTheme="minorHAnsi"/>
      <w:sz w:val="20"/>
      <w:lang w:eastAsia="en-US"/>
    </w:rPr>
  </w:style>
  <w:style w:type="character" w:styleId="Emphasis">
    <w:name w:val="Emphasis"/>
    <w:basedOn w:val="DefaultParagraphFont"/>
    <w:uiPriority w:val="20"/>
    <w:qFormat/>
    <w:rsid w:val="008F7DD8"/>
    <w:rPr>
      <w:i/>
      <w:iCs/>
    </w:rPr>
  </w:style>
  <w:style w:type="character" w:styleId="Mention">
    <w:name w:val="Mention"/>
    <w:basedOn w:val="DefaultParagraphFont"/>
    <w:uiPriority w:val="99"/>
    <w:unhideWhenUsed/>
    <w:rsid w:val="008F7DD8"/>
    <w:rPr>
      <w:color w:val="2B579A"/>
      <w:shd w:val="clear" w:color="auto" w:fill="E1DFDD"/>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locked/>
    <w:rsid w:val="008F7DD8"/>
    <w:rPr>
      <w:rFonts w:ascii="Times New Roman" w:hAnsi="Times New Roman" w:eastAsia="MS Mincho" w:cs="Times New Roman"/>
      <w:sz w:val="20"/>
      <w:szCs w:val="24"/>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emiHidden/>
    <w:unhideWhenUsed/>
    <w:rsid w:val="008F7DD8"/>
    <w:pPr>
      <w:spacing w:after="120" w:line="240" w:lineRule="auto"/>
      <w:jc w:val="both"/>
    </w:pPr>
    <w:rPr>
      <w:rFonts w:eastAsia="MS Mincho" w:cs="Times New Roman"/>
      <w:szCs w:val="24"/>
      <w:lang w:eastAsia="x-none"/>
    </w:rPr>
  </w:style>
  <w:style w:type="character" w:styleId="BodyTextChar1" w:customStyle="1">
    <w:name w:val="Body Text Char1"/>
    <w:basedOn w:val="DefaultParagraphFont"/>
    <w:uiPriority w:val="99"/>
    <w:semiHidden/>
    <w:rsid w:val="008F7DD8"/>
    <w:rPr>
      <w:rFonts w:ascii="Times New Roman" w:hAnsi="Times New Roman" w:eastAsiaTheme="minorHAnsi"/>
      <w:sz w:val="20"/>
      <w:lang w:eastAsia="en-US"/>
    </w:rPr>
  </w:style>
  <w:style w:type="character" w:styleId="Normal9pointspacingChar" w:customStyle="1">
    <w:name w:val="Normal 9 point spacing Char"/>
    <w:link w:val="Normal9pointspacing"/>
    <w:locked/>
    <w:rsid w:val="008F7DD8"/>
    <w:rPr>
      <w:rFonts w:ascii="Times New Roman" w:hAnsi="Times New Roman" w:eastAsia="MS Mincho" w:cs="Times New Roman"/>
      <w:szCs w:val="24"/>
      <w:lang w:val="x-none"/>
    </w:rPr>
  </w:style>
  <w:style w:type="paragraph" w:styleId="Normal9pointspacing" w:customStyle="1">
    <w:name w:val="Normal 9 point spacing"/>
    <w:basedOn w:val="BodyText"/>
    <w:link w:val="Normal9pointspacingChar"/>
    <w:qFormat/>
    <w:rsid w:val="008F7DD8"/>
    <w:pPr>
      <w:spacing w:before="240" w:after="60"/>
    </w:pPr>
    <w:rPr>
      <w:sz w:val="22"/>
      <w:lang w:val="x-none" w:eastAsia="ko-KR"/>
    </w:rPr>
  </w:style>
  <w:style w:type="paragraph" w:styleId="xmsonormal" w:customStyle="1">
    <w:name w:val="x_msonormal"/>
    <w:basedOn w:val="Normal"/>
    <w:uiPriority w:val="99"/>
    <w:rsid w:val="008F7DD8"/>
    <w:pPr>
      <w:spacing w:after="0" w:line="240" w:lineRule="auto"/>
    </w:pPr>
    <w:rPr>
      <w:rFonts w:ascii="Calibri" w:hAnsi="Calibri" w:eastAsia="Calibri" w:cs="Calibri"/>
      <w:sz w:val="22"/>
    </w:rPr>
  </w:style>
  <w:style w:type="character" w:styleId="11Char" w:customStyle="1">
    <w:name w:val="1.1 Char"/>
    <w:link w:val="11"/>
    <w:uiPriority w:val="99"/>
    <w:locked/>
    <w:rsid w:val="008F7DD8"/>
    <w:rPr>
      <w:rFonts w:ascii="Helvetica" w:hAnsi="Helvetica" w:eastAsia="MS Mincho"/>
      <w:b/>
      <w:bCs/>
      <w:iCs/>
      <w:lang w:val="x-none" w:eastAsia="x-none"/>
    </w:rPr>
  </w:style>
  <w:style w:type="paragraph" w:styleId="11" w:customStyle="1">
    <w:name w:val="1.1"/>
    <w:basedOn w:val="Heading2"/>
    <w:link w:val="11Char"/>
    <w:uiPriority w:val="99"/>
    <w:qFormat/>
    <w:rsid w:val="008F7DD8"/>
    <w:pPr>
      <w:keepLines w:val="0"/>
      <w:numPr>
        <w:ilvl w:val="1"/>
        <w:numId w:val="3"/>
      </w:numPr>
      <w:spacing w:before="240" w:after="60" w:line="240" w:lineRule="auto"/>
      <w:contextualSpacing/>
    </w:pPr>
    <w:rPr>
      <w:rFonts w:ascii="Helvetica" w:hAnsi="Helvetica" w:eastAsia="MS Mincho" w:cstheme="minorBidi"/>
      <w:b/>
      <w:bCs/>
      <w:iCs/>
      <w:color w:val="auto"/>
      <w:sz w:val="22"/>
      <w:szCs w:val="22"/>
      <w:lang w:val="x-none" w:eastAsia="x-none"/>
    </w:rPr>
  </w:style>
  <w:style w:type="paragraph" w:styleId="1" w:customStyle="1">
    <w:name w:val="1"/>
    <w:basedOn w:val="Heading1"/>
    <w:uiPriority w:val="99"/>
    <w:qFormat/>
    <w:rsid w:val="008F7DD8"/>
    <w:pPr>
      <w:keepLines w:val="0"/>
      <w:numPr>
        <w:numId w:val="3"/>
      </w:numPr>
      <w:tabs>
        <w:tab w:val="num" w:pos="360"/>
      </w:tabs>
      <w:spacing w:before="360" w:after="180" w:line="240" w:lineRule="auto"/>
      <w:ind w:left="0" w:firstLine="0"/>
    </w:pPr>
    <w:rPr>
      <w:rFonts w:ascii="Helvetica" w:hAnsi="Helvetica" w:eastAsia="MS Mincho" w:cs="Times New Roman"/>
      <w:b/>
      <w:bCs/>
      <w:color w:val="auto"/>
      <w:kern w:val="32"/>
      <w:sz w:val="28"/>
      <w:lang w:val="x-none" w:eastAsia="x-none"/>
    </w:rPr>
  </w:style>
  <w:style w:type="paragraph" w:styleId="Style1" w:customStyle="1">
    <w:name w:val="Style1"/>
    <w:basedOn w:val="11"/>
    <w:uiPriority w:val="99"/>
    <w:qFormat/>
    <w:rsid w:val="008F7DD8"/>
    <w:pPr>
      <w:numPr>
        <w:ilvl w:val="2"/>
      </w:numPr>
      <w:tabs>
        <w:tab w:val="num" w:pos="360"/>
      </w:tabs>
      <w:spacing w:before="120"/>
    </w:pPr>
    <w:rPr>
      <w:rFonts w:ascii="Times New Roman" w:hAnsi="Times New Roman" w:eastAsiaTheme="minorEastAsia"/>
      <w:b w:val="0"/>
    </w:rPr>
  </w:style>
  <w:style w:type="character" w:styleId="Heading2Char" w:customStyle="1">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8F7DD8"/>
    <w:rPr>
      <w:rFonts w:asciiTheme="majorHAnsi" w:hAnsiTheme="majorHAnsi" w:eastAsiaTheme="majorEastAsia" w:cstheme="majorBidi"/>
      <w:color w:val="2F5496" w:themeColor="accent1" w:themeShade="BF"/>
      <w:sz w:val="26"/>
      <w:szCs w:val="26"/>
      <w:lang w:eastAsia="en-US"/>
    </w:rPr>
  </w:style>
  <w:style w:type="paragraph" w:styleId="Caption">
    <w:name w:val="caption"/>
    <w:basedOn w:val="Normal"/>
    <w:next w:val="Normal"/>
    <w:uiPriority w:val="35"/>
    <w:semiHidden/>
    <w:unhideWhenUsed/>
    <w:qFormat/>
    <w:rsid w:val="008F7DD8"/>
    <w:pPr>
      <w:spacing w:after="200" w:line="240" w:lineRule="auto"/>
    </w:pPr>
    <w:rPr>
      <w:i/>
      <w:iCs/>
      <w:color w:val="44546A" w:themeColor="text2"/>
      <w:sz w:val="18"/>
      <w:szCs w:val="18"/>
    </w:rPr>
  </w:style>
  <w:style w:type="character" w:styleId="Heading1Char" w:customStyle="1">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8F7DD8"/>
    <w:rPr>
      <w:rFonts w:asciiTheme="majorHAnsi" w:hAnsiTheme="majorHAnsi" w:eastAsiaTheme="majorEastAsia" w:cstheme="majorBidi"/>
      <w:color w:val="2F5496" w:themeColor="accent1" w:themeShade="BF"/>
      <w:sz w:val="32"/>
      <w:szCs w:val="32"/>
      <w:lang w:eastAsia="en-US"/>
    </w:rPr>
  </w:style>
  <w:style w:type="paragraph" w:styleId="CommentSubject">
    <w:name w:val="annotation subject"/>
    <w:basedOn w:val="CommentText"/>
    <w:next w:val="CommentText"/>
    <w:link w:val="CommentSubjectChar"/>
    <w:uiPriority w:val="99"/>
    <w:semiHidden/>
    <w:unhideWhenUsed/>
    <w:rsid w:val="00122311"/>
    <w:pPr>
      <w:overflowPunct/>
      <w:autoSpaceDE/>
      <w:autoSpaceDN/>
      <w:adjustRightInd/>
      <w:spacing w:after="160"/>
      <w:textAlignment w:val="auto"/>
    </w:pPr>
    <w:rPr>
      <w:rFonts w:eastAsiaTheme="minorHAnsi" w:cstheme="minorBidi"/>
      <w:b/>
      <w:bCs/>
      <w:lang w:val="en-US" w:eastAsia="en-US"/>
    </w:rPr>
  </w:style>
  <w:style w:type="character" w:styleId="CommentSubjectChar" w:customStyle="1">
    <w:name w:val="Comment Subject Char"/>
    <w:basedOn w:val="CommentTextChar"/>
    <w:link w:val="CommentSubject"/>
    <w:uiPriority w:val="99"/>
    <w:semiHidden/>
    <w:rsid w:val="00122311"/>
    <w:rPr>
      <w:rFonts w:ascii="Times New Roman" w:hAnsi="Times New Roman" w:cs="Times New Roman" w:eastAsiaTheme="minorHAnsi"/>
      <w:b/>
      <w:bCs/>
      <w:sz w:val="20"/>
      <w:szCs w:val="20"/>
      <w:lang w:val="en-GB" w:eastAsia="en-US"/>
    </w:rPr>
  </w:style>
  <w:style w:type="character" w:styleId="UnresolvedMention">
    <w:name w:val="Unresolved Mention"/>
    <w:basedOn w:val="DefaultParagraphFont"/>
    <w:uiPriority w:val="99"/>
    <w:unhideWhenUsed/>
    <w:rsid w:val="00122311"/>
    <w:rPr>
      <w:color w:val="605E5C"/>
      <w:shd w:val="clear" w:color="auto" w:fill="E1DFDD"/>
    </w:rPr>
  </w:style>
  <w:style w:type="paragraph" w:styleId="RAN4Observation" w:customStyle="1">
    <w:name w:val="RAN4 Observation"/>
    <w:basedOn w:val="ListParagraph"/>
    <w:next w:val="Normal"/>
    <w:link w:val="RAN4ObservationChar"/>
    <w:rsid w:val="008D3B00"/>
    <w:pPr>
      <w:numPr>
        <w:numId w:val="5"/>
      </w:numPr>
    </w:pPr>
    <w:rPr>
      <w:rFonts w:eastAsia="Calibri" w:cs="Times New Roman"/>
      <w:szCs w:val="20"/>
      <w:lang w:val="en-GB"/>
    </w:rPr>
  </w:style>
  <w:style w:type="character" w:styleId="RAN4ObservationChar" w:customStyle="1">
    <w:name w:val="RAN4 Observation Char"/>
    <w:basedOn w:val="ListParagraphChar"/>
    <w:link w:val="RAN4Observation"/>
    <w:rsid w:val="008D3B00"/>
    <w:rPr>
      <w:rFonts w:ascii="Times New Roman" w:hAnsi="Times New Roman" w:eastAsia="Calibri" w:cs="Times New Roman"/>
      <w:sz w:val="20"/>
      <w:szCs w:val="20"/>
      <w:lang w:val="en-GB" w:eastAsia="en-US"/>
    </w:rPr>
  </w:style>
  <w:style w:type="table" w:styleId="TableGrid">
    <w:name w:val="Table Grid"/>
    <w:basedOn w:val="TableNormal"/>
    <w:uiPriority w:val="39"/>
    <w:rsid w:val="00096DB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6639E6"/>
    <w:pPr>
      <w:spacing w:before="100" w:beforeAutospacing="1" w:after="100" w:afterAutospacing="1" w:line="240" w:lineRule="auto"/>
    </w:pPr>
    <w:rPr>
      <w:rFonts w:eastAsia="Times New Roman" w:cs="Times New Roman"/>
      <w:sz w:val="24"/>
      <w:szCs w:val="24"/>
      <w:lang w:eastAsia="ko-KR"/>
    </w:rPr>
  </w:style>
  <w:style w:type="character" w:styleId="normaltextrun" w:customStyle="1">
    <w:name w:val="normaltextrun"/>
    <w:basedOn w:val="DefaultParagraphFont"/>
    <w:rsid w:val="006639E6"/>
  </w:style>
  <w:style w:type="character" w:styleId="eop" w:customStyle="1">
    <w:name w:val="eop"/>
    <w:basedOn w:val="DefaultParagraphFont"/>
    <w:rsid w:val="006639E6"/>
  </w:style>
  <w:style w:type="paragraph" w:styleId="TAH" w:customStyle="1">
    <w:name w:val="TAH"/>
    <w:basedOn w:val="TAC"/>
    <w:link w:val="TAHCar"/>
    <w:uiPriority w:val="99"/>
    <w:qFormat/>
    <w:rsid w:val="00B651AD"/>
    <w:rPr>
      <w:b/>
    </w:rPr>
  </w:style>
  <w:style w:type="paragraph" w:styleId="TAC" w:customStyle="1">
    <w:name w:val="TAC"/>
    <w:basedOn w:val="Normal"/>
    <w:link w:val="TACChar"/>
    <w:qFormat/>
    <w:rsid w:val="00B651AD"/>
    <w:pPr>
      <w:keepNext/>
      <w:keepLines/>
      <w:spacing w:after="0" w:line="240" w:lineRule="auto"/>
      <w:jc w:val="center"/>
    </w:pPr>
    <w:rPr>
      <w:rFonts w:ascii="Arial" w:hAnsi="Arial" w:eastAsia="SimSun" w:cs="Times New Roman"/>
      <w:sz w:val="18"/>
      <w:szCs w:val="20"/>
      <w:lang w:val="en-GB"/>
    </w:rPr>
  </w:style>
  <w:style w:type="character" w:styleId="TACChar" w:customStyle="1">
    <w:name w:val="TAC Char"/>
    <w:link w:val="TAC"/>
    <w:qFormat/>
    <w:rsid w:val="00B651AD"/>
    <w:rPr>
      <w:rFonts w:ascii="Arial" w:hAnsi="Arial" w:eastAsia="SimSun" w:cs="Times New Roman"/>
      <w:sz w:val="18"/>
      <w:szCs w:val="20"/>
      <w:lang w:val="en-GB" w:eastAsia="en-US"/>
    </w:rPr>
  </w:style>
  <w:style w:type="character" w:styleId="TAHCar" w:customStyle="1">
    <w:name w:val="TAH Car"/>
    <w:link w:val="TAH"/>
    <w:uiPriority w:val="99"/>
    <w:qFormat/>
    <w:rsid w:val="00B651AD"/>
    <w:rPr>
      <w:rFonts w:ascii="Arial" w:hAnsi="Arial" w:eastAsia="SimSun" w:cs="Times New Roman"/>
      <w:b/>
      <w:sz w:val="18"/>
      <w:szCs w:val="20"/>
      <w:lang w:val="en-GB" w:eastAsia="en-US"/>
    </w:rPr>
  </w:style>
  <w:style w:type="paragraph" w:styleId="TH" w:customStyle="1">
    <w:name w:val="TH"/>
    <w:basedOn w:val="Normal"/>
    <w:link w:val="THChar"/>
    <w:qFormat/>
    <w:rsid w:val="00B651AD"/>
    <w:pPr>
      <w:keepNext/>
      <w:keepLines/>
      <w:spacing w:before="60" w:after="180" w:line="240" w:lineRule="auto"/>
      <w:jc w:val="center"/>
    </w:pPr>
    <w:rPr>
      <w:rFonts w:ascii="Arial" w:hAnsi="Arial" w:eastAsia="SimSun" w:cs="Times New Roman"/>
      <w:b/>
      <w:szCs w:val="20"/>
      <w:lang w:val="en-GB"/>
    </w:rPr>
  </w:style>
  <w:style w:type="character" w:styleId="THChar" w:customStyle="1">
    <w:name w:val="TH Char"/>
    <w:link w:val="TH"/>
    <w:qFormat/>
    <w:rsid w:val="00B651AD"/>
    <w:rPr>
      <w:rFonts w:ascii="Arial" w:hAnsi="Arial" w:eastAsia="SimSun" w:cs="Times New Roman"/>
      <w:b/>
      <w:sz w:val="20"/>
      <w:szCs w:val="20"/>
      <w:lang w:val="en-GB" w:eastAsia="en-US"/>
    </w:rPr>
  </w:style>
  <w:style w:type="paragraph" w:styleId="B1" w:customStyle="1">
    <w:name w:val="B1"/>
    <w:basedOn w:val="Normal"/>
    <w:link w:val="B1Char"/>
    <w:qFormat/>
    <w:rsid w:val="000054B9"/>
    <w:pPr>
      <w:spacing w:after="180" w:line="240" w:lineRule="auto"/>
      <w:ind w:left="568" w:hanging="284"/>
    </w:pPr>
    <w:rPr>
      <w:rFonts w:eastAsia="SimSun" w:cs="Times New Roman"/>
      <w:szCs w:val="20"/>
      <w:lang w:val="en-GB"/>
    </w:rPr>
  </w:style>
  <w:style w:type="character" w:styleId="B1Char" w:customStyle="1">
    <w:name w:val="B1 Char"/>
    <w:link w:val="B1"/>
    <w:qFormat/>
    <w:rsid w:val="000054B9"/>
    <w:rPr>
      <w:rFonts w:ascii="Times New Roman" w:hAnsi="Times New Roman" w:eastAsia="SimSun" w:cs="Times New Roman"/>
      <w:sz w:val="20"/>
      <w:szCs w:val="20"/>
      <w:lang w:val="en-GB" w:eastAsia="en-US"/>
    </w:rPr>
  </w:style>
  <w:style w:type="paragraph" w:styleId="Footer">
    <w:name w:val="footer"/>
    <w:basedOn w:val="Normal"/>
    <w:link w:val="FooterChar"/>
    <w:uiPriority w:val="99"/>
    <w:semiHidden/>
    <w:unhideWhenUsed/>
    <w:rsid w:val="001B505A"/>
    <w:pPr>
      <w:tabs>
        <w:tab w:val="center" w:pos="4680"/>
        <w:tab w:val="right" w:pos="9360"/>
      </w:tabs>
      <w:spacing w:after="0" w:line="240" w:lineRule="auto"/>
    </w:pPr>
  </w:style>
  <w:style w:type="character" w:styleId="FooterChar" w:customStyle="1">
    <w:name w:val="Footer Char"/>
    <w:basedOn w:val="DefaultParagraphFont"/>
    <w:link w:val="Footer"/>
    <w:uiPriority w:val="99"/>
    <w:semiHidden/>
    <w:rsid w:val="001B505A"/>
    <w:rPr>
      <w:rFonts w:ascii="Times New Roman" w:hAnsi="Times New Roman" w:eastAsiaTheme="minorHAnsi"/>
      <w:sz w:val="20"/>
      <w:lang w:eastAsia="en-US"/>
    </w:rPr>
  </w:style>
  <w:style w:type="paragraph" w:styleId="Date">
    <w:name w:val="Date"/>
    <w:basedOn w:val="Normal"/>
    <w:next w:val="Normal"/>
    <w:link w:val="DateChar"/>
    <w:uiPriority w:val="99"/>
    <w:semiHidden/>
    <w:unhideWhenUsed/>
    <w:rsid w:val="005D42AB"/>
  </w:style>
  <w:style w:type="character" w:styleId="DateChar" w:customStyle="1">
    <w:name w:val="Date Char"/>
    <w:basedOn w:val="DefaultParagraphFont"/>
    <w:link w:val="Date"/>
    <w:uiPriority w:val="99"/>
    <w:semiHidden/>
    <w:rsid w:val="005D42AB"/>
    <w:rPr>
      <w:rFonts w:ascii="Times New Roman" w:hAnsi="Times New Roman" w:eastAsiaTheme="minorHAnsi"/>
      <w:sz w:val="20"/>
      <w:lang w:eastAsia="en-US"/>
    </w:rPr>
  </w:style>
  <w:style w:type="character" w:styleId="apple-converted-space" w:customStyle="1">
    <w:name w:val="apple-converted-space"/>
    <w:qFormat/>
    <w:rsid w:val="00AE5778"/>
  </w:style>
  <w:style w:type="paragraph" w:styleId="00BodyText" w:customStyle="1">
    <w:name w:val="00 BodyText"/>
    <w:basedOn w:val="Normal"/>
    <w:rsid w:val="00FE245E"/>
    <w:pPr>
      <w:overflowPunct w:val="0"/>
      <w:autoSpaceDE w:val="0"/>
      <w:autoSpaceDN w:val="0"/>
      <w:adjustRightInd w:val="0"/>
      <w:spacing w:after="220" w:line="240" w:lineRule="auto"/>
      <w:textAlignment w:val="baseline"/>
    </w:pPr>
    <w:rPr>
      <w:rFonts w:ascii="Arial" w:hAnsi="Arial" w:eastAsia="Times New Roman" w:cs="Times New Roman"/>
      <w:sz w:val="22"/>
      <w:szCs w:val="20"/>
    </w:rPr>
  </w:style>
  <w:style w:type="paragraph" w:styleId="Doc-text2" w:customStyle="1">
    <w:name w:val="Doc-text2"/>
    <w:basedOn w:val="Normal"/>
    <w:link w:val="Doc-text2Char"/>
    <w:qFormat/>
    <w:rsid w:val="00EC0EF2"/>
    <w:pPr>
      <w:tabs>
        <w:tab w:val="left" w:pos="1622"/>
      </w:tabs>
      <w:spacing w:after="0" w:line="240" w:lineRule="auto"/>
      <w:ind w:left="1622" w:hanging="363"/>
    </w:pPr>
    <w:rPr>
      <w:rFonts w:ascii="Arial" w:hAnsi="Arial" w:eastAsia="MS Mincho" w:cs="Times New Roman"/>
      <w:szCs w:val="24"/>
      <w:lang w:val="en-GB" w:eastAsia="en-GB"/>
    </w:rPr>
  </w:style>
  <w:style w:type="character" w:styleId="Doc-text2Char" w:customStyle="1">
    <w:name w:val="Doc-text2 Char"/>
    <w:link w:val="Doc-text2"/>
    <w:qFormat/>
    <w:rsid w:val="00EC0EF2"/>
    <w:rPr>
      <w:rFonts w:ascii="Arial" w:hAnsi="Arial" w:eastAsia="MS Mincho" w:cs="Times New Roman"/>
      <w:sz w:val="20"/>
      <w:szCs w:val="24"/>
      <w:lang w:val="en-GB" w:eastAsia="en-GB"/>
    </w:rPr>
  </w:style>
  <w:style w:type="character" w:styleId="Strong">
    <w:name w:val="Strong"/>
    <w:basedOn w:val="DefaultParagraphFont"/>
    <w:uiPriority w:val="22"/>
    <w:qFormat/>
    <w:rsid w:val="005C37FD"/>
    <w:rPr>
      <w:b/>
      <w:bCs/>
    </w:rPr>
  </w:style>
  <w:style w:type="paragraph" w:styleId="Title">
    <w:name w:val="Title"/>
    <w:basedOn w:val="Normal"/>
    <w:next w:val="Normal"/>
    <w:link w:val="TitleChar"/>
    <w:uiPriority w:val="10"/>
    <w:qFormat/>
    <w:rsid w:val="004C3D17"/>
    <w:pPr>
      <w:spacing w:after="0" w:line="240" w:lineRule="auto"/>
      <w:contextualSpacing/>
    </w:pPr>
    <w:rPr>
      <w:rFonts w:asciiTheme="majorHAnsi" w:hAnsiTheme="majorHAnsi" w:eastAsiaTheme="majorEastAsia" w:cstheme="majorBidi"/>
      <w:spacing w:val="-10"/>
      <w:sz w:val="56"/>
      <w:szCs w:val="56"/>
      <w:lang w:eastAsia="ko-KR"/>
    </w:rPr>
  </w:style>
  <w:style w:type="character" w:styleId="TitleChar" w:customStyle="1">
    <w:name w:val="Title Char"/>
    <w:basedOn w:val="DefaultParagraphFont"/>
    <w:link w:val="Title"/>
    <w:uiPriority w:val="10"/>
    <w:qFormat/>
    <w:rsid w:val="004C3D17"/>
    <w:rPr>
      <w:rFonts w:asciiTheme="majorHAnsi" w:hAnsiTheme="majorHAnsi" w:eastAsiaTheme="majorEastAsia" w:cstheme="majorBidi"/>
      <w:spacing w:val="-10"/>
      <w:sz w:val="56"/>
      <w:szCs w:val="56"/>
    </w:rPr>
  </w:style>
  <w:style w:type="character" w:styleId="Heading3Char" w:customStyle="1">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278B1"/>
    <w:rPr>
      <w:rFonts w:asciiTheme="majorHAnsi" w:hAnsiTheme="majorHAnsi" w:eastAsiaTheme="majorEastAsia" w:cstheme="majorBidi"/>
      <w:color w:val="1F3763" w:themeColor="accent1" w:themeShade="7F"/>
      <w:sz w:val="24"/>
      <w:szCs w:val="24"/>
      <w:lang w:eastAsia="en-US"/>
    </w:rPr>
  </w:style>
  <w:style w:type="character" w:styleId="Heading4Char" w:customStyle="1">
    <w:name w:val="Heading 4 Char"/>
    <w:basedOn w:val="DefaultParagraphFont"/>
    <w:link w:val="Heading4"/>
    <w:rsid w:val="005278B1"/>
    <w:rPr>
      <w:rFonts w:ascii="Arial" w:hAnsi="Arial" w:eastAsia="SimSun" w:cs="Times New Roman"/>
      <w:sz w:val="24"/>
      <w:szCs w:val="18"/>
      <w:lang w:val="sv-SE" w:eastAsia="zh-CN"/>
    </w:rPr>
  </w:style>
  <w:style w:type="character" w:styleId="Heading5Char" w:customStyle="1">
    <w:name w:val="Heading 5 Char"/>
    <w:basedOn w:val="DefaultParagraphFont"/>
    <w:link w:val="Heading5"/>
    <w:rsid w:val="005278B1"/>
    <w:rPr>
      <w:rFonts w:ascii="Arial" w:hAnsi="Arial" w:eastAsia="SimSun" w:cs="Times New Roman"/>
      <w:szCs w:val="18"/>
      <w:lang w:val="sv-SE" w:eastAsia="zh-CN"/>
    </w:rPr>
  </w:style>
  <w:style w:type="character" w:styleId="Heading6Char" w:customStyle="1">
    <w:name w:val="Heading 6 Char"/>
    <w:basedOn w:val="DefaultParagraphFont"/>
    <w:link w:val="Heading6"/>
    <w:rsid w:val="005278B1"/>
    <w:rPr>
      <w:rFonts w:ascii="Arial" w:hAnsi="Arial" w:eastAsia="SimSun" w:cs="Times New Roman"/>
      <w:sz w:val="20"/>
      <w:szCs w:val="18"/>
      <w:lang w:val="sv-SE" w:eastAsia="zh-CN"/>
    </w:rPr>
  </w:style>
  <w:style w:type="character" w:styleId="Heading7Char" w:customStyle="1">
    <w:name w:val="Heading 7 Char"/>
    <w:basedOn w:val="DefaultParagraphFont"/>
    <w:link w:val="Heading7"/>
    <w:rsid w:val="005278B1"/>
    <w:rPr>
      <w:rFonts w:ascii="Arial" w:hAnsi="Arial" w:eastAsia="SimSun" w:cs="Times New Roman"/>
      <w:sz w:val="20"/>
      <w:szCs w:val="18"/>
      <w:lang w:val="sv-SE" w:eastAsia="zh-CN"/>
    </w:rPr>
  </w:style>
  <w:style w:type="character" w:styleId="Heading8Char" w:customStyle="1">
    <w:name w:val="Heading 8 Char"/>
    <w:basedOn w:val="DefaultParagraphFont"/>
    <w:link w:val="Heading8"/>
    <w:rsid w:val="005278B1"/>
    <w:rPr>
      <w:rFonts w:ascii="Arial" w:hAnsi="Arial" w:eastAsia="SimSun" w:cs="Times New Roman"/>
      <w:sz w:val="36"/>
      <w:szCs w:val="20"/>
      <w:lang w:val="sv-SE" w:eastAsia="en-US"/>
    </w:rPr>
  </w:style>
  <w:style w:type="character" w:styleId="Heading9Char" w:customStyle="1">
    <w:name w:val="Heading 9 Char"/>
    <w:basedOn w:val="DefaultParagraphFont"/>
    <w:link w:val="Heading9"/>
    <w:rsid w:val="005278B1"/>
    <w:rPr>
      <w:rFonts w:ascii="Arial" w:hAnsi="Arial" w:eastAsia="SimSun" w:cs="Times New Roman"/>
      <w:sz w:val="36"/>
      <w:szCs w:val="20"/>
      <w:lang w:val="sv-SE" w:eastAsia="en-US"/>
    </w:rPr>
  </w:style>
  <w:style w:type="paragraph" w:styleId="NO" w:customStyle="1">
    <w:name w:val="NO"/>
    <w:basedOn w:val="Normal"/>
    <w:link w:val="NOChar"/>
    <w:qFormat/>
    <w:rsid w:val="00165286"/>
    <w:pPr>
      <w:keepLines/>
      <w:spacing w:after="180" w:line="240" w:lineRule="auto"/>
      <w:ind w:left="1135" w:hanging="851"/>
    </w:pPr>
    <w:rPr>
      <w:rFonts w:eastAsia="SimSun" w:cs="Times New Roman"/>
      <w:szCs w:val="20"/>
      <w:lang w:val="en-GB"/>
    </w:rPr>
  </w:style>
  <w:style w:type="character" w:styleId="NOChar" w:customStyle="1">
    <w:name w:val="NO Char"/>
    <w:link w:val="NO"/>
    <w:qFormat/>
    <w:rsid w:val="00165286"/>
    <w:rPr>
      <w:rFonts w:ascii="Times New Roman" w:hAnsi="Times New Roman" w:eastAsia="SimSun" w:cs="Times New Roman"/>
      <w:sz w:val="20"/>
      <w:szCs w:val="20"/>
      <w:lang w:val="en-GB" w:eastAsia="en-US"/>
    </w:rPr>
  </w:style>
  <w:style w:type="paragraph" w:styleId="3GPPNormalText" w:customStyle="1">
    <w:name w:val="3GPP Normal Text"/>
    <w:basedOn w:val="BodyText"/>
    <w:link w:val="3GPPNormalTextChar"/>
    <w:qFormat/>
    <w:rsid w:val="00165286"/>
    <w:pPr>
      <w:ind w:hanging="22"/>
    </w:pPr>
    <w:rPr>
      <w:rFonts w:ascii="Arial" w:hAnsi="Arial" w:cs="Arial"/>
      <w:sz w:val="24"/>
      <w:lang w:eastAsia="en-US"/>
    </w:rPr>
  </w:style>
  <w:style w:type="character" w:styleId="3GPPNormalTextChar" w:customStyle="1">
    <w:name w:val="3GPP Normal Text Char"/>
    <w:link w:val="3GPPNormalText"/>
    <w:rsid w:val="00165286"/>
    <w:rPr>
      <w:rFonts w:ascii="Arial" w:hAnsi="Arial" w:eastAsia="MS Mincho" w:cs="Arial"/>
      <w:sz w:val="24"/>
      <w:szCs w:val="24"/>
      <w:lang w:eastAsia="en-US"/>
    </w:rPr>
  </w:style>
  <w:style w:type="paragraph" w:styleId="CRCoverPage" w:customStyle="1">
    <w:name w:val="CR Cover Page"/>
    <w:link w:val="CRCoverPageChar"/>
    <w:qFormat/>
    <w:rsid w:val="006700FD"/>
    <w:pPr>
      <w:spacing w:after="120" w:line="240" w:lineRule="auto"/>
    </w:pPr>
    <w:rPr>
      <w:rFonts w:ascii="Arial" w:hAnsi="Arial" w:eastAsia="Times New Roman" w:cs="Times New Roman"/>
      <w:sz w:val="20"/>
      <w:szCs w:val="20"/>
      <w:lang w:val="en-GB" w:eastAsia="en-US"/>
    </w:rPr>
  </w:style>
  <w:style w:type="character" w:styleId="CRCoverPageChar" w:customStyle="1">
    <w:name w:val="CR Cover Page Char"/>
    <w:link w:val="CRCoverPage"/>
    <w:qFormat/>
    <w:rsid w:val="006700FD"/>
    <w:rPr>
      <w:rFonts w:ascii="Arial" w:hAnsi="Arial" w:eastAsia="Times New Roman" w:cs="Times New Roman"/>
      <w:sz w:val="20"/>
      <w:szCs w:val="20"/>
      <w:lang w:val="en-GB" w:eastAsia="en-US"/>
    </w:rPr>
  </w:style>
  <w:style w:type="paragraph" w:styleId="NormalWeb">
    <w:name w:val="Normal (Web)"/>
    <w:basedOn w:val="Normal"/>
    <w:uiPriority w:val="99"/>
    <w:semiHidden/>
    <w:unhideWhenUsed/>
    <w:rsid w:val="00581E33"/>
    <w:pPr>
      <w:spacing w:before="100" w:beforeAutospacing="1" w:after="100" w:afterAutospacing="1" w:line="240" w:lineRule="auto"/>
    </w:pPr>
    <w:rPr>
      <w:rFonts w:eastAsia="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271271">
      <w:bodyDiv w:val="1"/>
      <w:marLeft w:val="0"/>
      <w:marRight w:val="0"/>
      <w:marTop w:val="0"/>
      <w:marBottom w:val="0"/>
      <w:divBdr>
        <w:top w:val="none" w:sz="0" w:space="0" w:color="auto"/>
        <w:left w:val="none" w:sz="0" w:space="0" w:color="auto"/>
        <w:bottom w:val="none" w:sz="0" w:space="0" w:color="auto"/>
        <w:right w:val="none" w:sz="0" w:space="0" w:color="auto"/>
      </w:divBdr>
    </w:div>
    <w:div w:id="168065477">
      <w:bodyDiv w:val="1"/>
      <w:marLeft w:val="0"/>
      <w:marRight w:val="0"/>
      <w:marTop w:val="0"/>
      <w:marBottom w:val="0"/>
      <w:divBdr>
        <w:top w:val="none" w:sz="0" w:space="0" w:color="auto"/>
        <w:left w:val="none" w:sz="0" w:space="0" w:color="auto"/>
        <w:bottom w:val="none" w:sz="0" w:space="0" w:color="auto"/>
        <w:right w:val="none" w:sz="0" w:space="0" w:color="auto"/>
      </w:divBdr>
    </w:div>
    <w:div w:id="265887418">
      <w:bodyDiv w:val="1"/>
      <w:marLeft w:val="0"/>
      <w:marRight w:val="0"/>
      <w:marTop w:val="0"/>
      <w:marBottom w:val="0"/>
      <w:divBdr>
        <w:top w:val="none" w:sz="0" w:space="0" w:color="auto"/>
        <w:left w:val="none" w:sz="0" w:space="0" w:color="auto"/>
        <w:bottom w:val="none" w:sz="0" w:space="0" w:color="auto"/>
        <w:right w:val="none" w:sz="0" w:space="0" w:color="auto"/>
      </w:divBdr>
    </w:div>
    <w:div w:id="320888148">
      <w:bodyDiv w:val="1"/>
      <w:marLeft w:val="0"/>
      <w:marRight w:val="0"/>
      <w:marTop w:val="0"/>
      <w:marBottom w:val="0"/>
      <w:divBdr>
        <w:top w:val="none" w:sz="0" w:space="0" w:color="auto"/>
        <w:left w:val="none" w:sz="0" w:space="0" w:color="auto"/>
        <w:bottom w:val="none" w:sz="0" w:space="0" w:color="auto"/>
        <w:right w:val="none" w:sz="0" w:space="0" w:color="auto"/>
      </w:divBdr>
      <w:divsChild>
        <w:div w:id="249855726">
          <w:marLeft w:val="1080"/>
          <w:marRight w:val="0"/>
          <w:marTop w:val="100"/>
          <w:marBottom w:val="0"/>
          <w:divBdr>
            <w:top w:val="none" w:sz="0" w:space="0" w:color="auto"/>
            <w:left w:val="none" w:sz="0" w:space="0" w:color="auto"/>
            <w:bottom w:val="none" w:sz="0" w:space="0" w:color="auto"/>
            <w:right w:val="none" w:sz="0" w:space="0" w:color="auto"/>
          </w:divBdr>
        </w:div>
        <w:div w:id="334261179">
          <w:marLeft w:val="1800"/>
          <w:marRight w:val="0"/>
          <w:marTop w:val="100"/>
          <w:marBottom w:val="0"/>
          <w:divBdr>
            <w:top w:val="none" w:sz="0" w:space="0" w:color="auto"/>
            <w:left w:val="none" w:sz="0" w:space="0" w:color="auto"/>
            <w:bottom w:val="none" w:sz="0" w:space="0" w:color="auto"/>
            <w:right w:val="none" w:sz="0" w:space="0" w:color="auto"/>
          </w:divBdr>
        </w:div>
        <w:div w:id="454100193">
          <w:marLeft w:val="1800"/>
          <w:marRight w:val="0"/>
          <w:marTop w:val="100"/>
          <w:marBottom w:val="0"/>
          <w:divBdr>
            <w:top w:val="none" w:sz="0" w:space="0" w:color="auto"/>
            <w:left w:val="none" w:sz="0" w:space="0" w:color="auto"/>
            <w:bottom w:val="none" w:sz="0" w:space="0" w:color="auto"/>
            <w:right w:val="none" w:sz="0" w:space="0" w:color="auto"/>
          </w:divBdr>
        </w:div>
        <w:div w:id="555550678">
          <w:marLeft w:val="1800"/>
          <w:marRight w:val="0"/>
          <w:marTop w:val="100"/>
          <w:marBottom w:val="0"/>
          <w:divBdr>
            <w:top w:val="none" w:sz="0" w:space="0" w:color="auto"/>
            <w:left w:val="none" w:sz="0" w:space="0" w:color="auto"/>
            <w:bottom w:val="none" w:sz="0" w:space="0" w:color="auto"/>
            <w:right w:val="none" w:sz="0" w:space="0" w:color="auto"/>
          </w:divBdr>
        </w:div>
        <w:div w:id="1504278921">
          <w:marLeft w:val="360"/>
          <w:marRight w:val="0"/>
          <w:marTop w:val="200"/>
          <w:marBottom w:val="0"/>
          <w:divBdr>
            <w:top w:val="none" w:sz="0" w:space="0" w:color="auto"/>
            <w:left w:val="none" w:sz="0" w:space="0" w:color="auto"/>
            <w:bottom w:val="none" w:sz="0" w:space="0" w:color="auto"/>
            <w:right w:val="none" w:sz="0" w:space="0" w:color="auto"/>
          </w:divBdr>
        </w:div>
        <w:div w:id="1611737652">
          <w:marLeft w:val="1080"/>
          <w:marRight w:val="0"/>
          <w:marTop w:val="100"/>
          <w:marBottom w:val="0"/>
          <w:divBdr>
            <w:top w:val="none" w:sz="0" w:space="0" w:color="auto"/>
            <w:left w:val="none" w:sz="0" w:space="0" w:color="auto"/>
            <w:bottom w:val="none" w:sz="0" w:space="0" w:color="auto"/>
            <w:right w:val="none" w:sz="0" w:space="0" w:color="auto"/>
          </w:divBdr>
        </w:div>
      </w:divsChild>
    </w:div>
    <w:div w:id="409277119">
      <w:bodyDiv w:val="1"/>
      <w:marLeft w:val="0"/>
      <w:marRight w:val="0"/>
      <w:marTop w:val="0"/>
      <w:marBottom w:val="0"/>
      <w:divBdr>
        <w:top w:val="none" w:sz="0" w:space="0" w:color="auto"/>
        <w:left w:val="none" w:sz="0" w:space="0" w:color="auto"/>
        <w:bottom w:val="none" w:sz="0" w:space="0" w:color="auto"/>
        <w:right w:val="none" w:sz="0" w:space="0" w:color="auto"/>
      </w:divBdr>
      <w:divsChild>
        <w:div w:id="938678738">
          <w:marLeft w:val="547"/>
          <w:marRight w:val="0"/>
          <w:marTop w:val="0"/>
          <w:marBottom w:val="0"/>
          <w:divBdr>
            <w:top w:val="none" w:sz="0" w:space="0" w:color="auto"/>
            <w:left w:val="none" w:sz="0" w:space="0" w:color="auto"/>
            <w:bottom w:val="none" w:sz="0" w:space="0" w:color="auto"/>
            <w:right w:val="none" w:sz="0" w:space="0" w:color="auto"/>
          </w:divBdr>
        </w:div>
        <w:div w:id="1259214794">
          <w:marLeft w:val="1166"/>
          <w:marRight w:val="0"/>
          <w:marTop w:val="0"/>
          <w:marBottom w:val="0"/>
          <w:divBdr>
            <w:top w:val="none" w:sz="0" w:space="0" w:color="auto"/>
            <w:left w:val="none" w:sz="0" w:space="0" w:color="auto"/>
            <w:bottom w:val="none" w:sz="0" w:space="0" w:color="auto"/>
            <w:right w:val="none" w:sz="0" w:space="0" w:color="auto"/>
          </w:divBdr>
        </w:div>
        <w:div w:id="1344556172">
          <w:marLeft w:val="547"/>
          <w:marRight w:val="0"/>
          <w:marTop w:val="0"/>
          <w:marBottom w:val="0"/>
          <w:divBdr>
            <w:top w:val="none" w:sz="0" w:space="0" w:color="auto"/>
            <w:left w:val="none" w:sz="0" w:space="0" w:color="auto"/>
            <w:bottom w:val="none" w:sz="0" w:space="0" w:color="auto"/>
            <w:right w:val="none" w:sz="0" w:space="0" w:color="auto"/>
          </w:divBdr>
        </w:div>
        <w:div w:id="1639066066">
          <w:marLeft w:val="1166"/>
          <w:marRight w:val="0"/>
          <w:marTop w:val="0"/>
          <w:marBottom w:val="0"/>
          <w:divBdr>
            <w:top w:val="none" w:sz="0" w:space="0" w:color="auto"/>
            <w:left w:val="none" w:sz="0" w:space="0" w:color="auto"/>
            <w:bottom w:val="none" w:sz="0" w:space="0" w:color="auto"/>
            <w:right w:val="none" w:sz="0" w:space="0" w:color="auto"/>
          </w:divBdr>
        </w:div>
        <w:div w:id="1834375595">
          <w:marLeft w:val="547"/>
          <w:marRight w:val="0"/>
          <w:marTop w:val="0"/>
          <w:marBottom w:val="0"/>
          <w:divBdr>
            <w:top w:val="none" w:sz="0" w:space="0" w:color="auto"/>
            <w:left w:val="none" w:sz="0" w:space="0" w:color="auto"/>
            <w:bottom w:val="none" w:sz="0" w:space="0" w:color="auto"/>
            <w:right w:val="none" w:sz="0" w:space="0" w:color="auto"/>
          </w:divBdr>
        </w:div>
      </w:divsChild>
    </w:div>
    <w:div w:id="413403062">
      <w:bodyDiv w:val="1"/>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0"/>
          <w:marBottom w:val="0"/>
          <w:divBdr>
            <w:top w:val="none" w:sz="0" w:space="0" w:color="auto"/>
            <w:left w:val="none" w:sz="0" w:space="0" w:color="auto"/>
            <w:bottom w:val="none" w:sz="0" w:space="0" w:color="auto"/>
            <w:right w:val="none" w:sz="0" w:space="0" w:color="auto"/>
          </w:divBdr>
        </w:div>
        <w:div w:id="446896884">
          <w:marLeft w:val="0"/>
          <w:marRight w:val="0"/>
          <w:marTop w:val="0"/>
          <w:marBottom w:val="0"/>
          <w:divBdr>
            <w:top w:val="none" w:sz="0" w:space="0" w:color="auto"/>
            <w:left w:val="none" w:sz="0" w:space="0" w:color="auto"/>
            <w:bottom w:val="none" w:sz="0" w:space="0" w:color="auto"/>
            <w:right w:val="none" w:sz="0" w:space="0" w:color="auto"/>
          </w:divBdr>
        </w:div>
      </w:divsChild>
    </w:div>
    <w:div w:id="443773937">
      <w:bodyDiv w:val="1"/>
      <w:marLeft w:val="0"/>
      <w:marRight w:val="0"/>
      <w:marTop w:val="0"/>
      <w:marBottom w:val="0"/>
      <w:divBdr>
        <w:top w:val="none" w:sz="0" w:space="0" w:color="auto"/>
        <w:left w:val="none" w:sz="0" w:space="0" w:color="auto"/>
        <w:bottom w:val="none" w:sz="0" w:space="0" w:color="auto"/>
        <w:right w:val="none" w:sz="0" w:space="0" w:color="auto"/>
      </w:divBdr>
      <w:divsChild>
        <w:div w:id="1262254234">
          <w:marLeft w:val="0"/>
          <w:marRight w:val="0"/>
          <w:marTop w:val="0"/>
          <w:marBottom w:val="0"/>
          <w:divBdr>
            <w:top w:val="none" w:sz="0" w:space="0" w:color="auto"/>
            <w:left w:val="none" w:sz="0" w:space="0" w:color="auto"/>
            <w:bottom w:val="none" w:sz="0" w:space="0" w:color="auto"/>
            <w:right w:val="none" w:sz="0" w:space="0" w:color="auto"/>
          </w:divBdr>
        </w:div>
        <w:div w:id="1993831214">
          <w:marLeft w:val="0"/>
          <w:marRight w:val="0"/>
          <w:marTop w:val="0"/>
          <w:marBottom w:val="0"/>
          <w:divBdr>
            <w:top w:val="none" w:sz="0" w:space="0" w:color="auto"/>
            <w:left w:val="none" w:sz="0" w:space="0" w:color="auto"/>
            <w:bottom w:val="none" w:sz="0" w:space="0" w:color="auto"/>
            <w:right w:val="none" w:sz="0" w:space="0" w:color="auto"/>
          </w:divBdr>
        </w:div>
      </w:divsChild>
    </w:div>
    <w:div w:id="449475288">
      <w:bodyDiv w:val="1"/>
      <w:marLeft w:val="0"/>
      <w:marRight w:val="0"/>
      <w:marTop w:val="0"/>
      <w:marBottom w:val="0"/>
      <w:divBdr>
        <w:top w:val="none" w:sz="0" w:space="0" w:color="auto"/>
        <w:left w:val="none" w:sz="0" w:space="0" w:color="auto"/>
        <w:bottom w:val="none" w:sz="0" w:space="0" w:color="auto"/>
        <w:right w:val="none" w:sz="0" w:space="0" w:color="auto"/>
      </w:divBdr>
    </w:div>
    <w:div w:id="527109627">
      <w:bodyDiv w:val="1"/>
      <w:marLeft w:val="0"/>
      <w:marRight w:val="0"/>
      <w:marTop w:val="0"/>
      <w:marBottom w:val="0"/>
      <w:divBdr>
        <w:top w:val="none" w:sz="0" w:space="0" w:color="auto"/>
        <w:left w:val="none" w:sz="0" w:space="0" w:color="auto"/>
        <w:bottom w:val="none" w:sz="0" w:space="0" w:color="auto"/>
        <w:right w:val="none" w:sz="0" w:space="0" w:color="auto"/>
      </w:divBdr>
    </w:div>
    <w:div w:id="536509644">
      <w:bodyDiv w:val="1"/>
      <w:marLeft w:val="0"/>
      <w:marRight w:val="0"/>
      <w:marTop w:val="0"/>
      <w:marBottom w:val="0"/>
      <w:divBdr>
        <w:top w:val="none" w:sz="0" w:space="0" w:color="auto"/>
        <w:left w:val="none" w:sz="0" w:space="0" w:color="auto"/>
        <w:bottom w:val="none" w:sz="0" w:space="0" w:color="auto"/>
        <w:right w:val="none" w:sz="0" w:space="0" w:color="auto"/>
      </w:divBdr>
    </w:div>
    <w:div w:id="603466945">
      <w:bodyDiv w:val="1"/>
      <w:marLeft w:val="0"/>
      <w:marRight w:val="0"/>
      <w:marTop w:val="0"/>
      <w:marBottom w:val="0"/>
      <w:divBdr>
        <w:top w:val="none" w:sz="0" w:space="0" w:color="auto"/>
        <w:left w:val="none" w:sz="0" w:space="0" w:color="auto"/>
        <w:bottom w:val="none" w:sz="0" w:space="0" w:color="auto"/>
        <w:right w:val="none" w:sz="0" w:space="0" w:color="auto"/>
      </w:divBdr>
      <w:divsChild>
        <w:div w:id="332269559">
          <w:marLeft w:val="0"/>
          <w:marRight w:val="0"/>
          <w:marTop w:val="0"/>
          <w:marBottom w:val="0"/>
          <w:divBdr>
            <w:top w:val="none" w:sz="0" w:space="0" w:color="auto"/>
            <w:left w:val="none" w:sz="0" w:space="0" w:color="auto"/>
            <w:bottom w:val="none" w:sz="0" w:space="0" w:color="auto"/>
            <w:right w:val="none" w:sz="0" w:space="0" w:color="auto"/>
          </w:divBdr>
        </w:div>
        <w:div w:id="348603827">
          <w:marLeft w:val="0"/>
          <w:marRight w:val="0"/>
          <w:marTop w:val="0"/>
          <w:marBottom w:val="0"/>
          <w:divBdr>
            <w:top w:val="none" w:sz="0" w:space="0" w:color="auto"/>
            <w:left w:val="none" w:sz="0" w:space="0" w:color="auto"/>
            <w:bottom w:val="none" w:sz="0" w:space="0" w:color="auto"/>
            <w:right w:val="none" w:sz="0" w:space="0" w:color="auto"/>
          </w:divBdr>
        </w:div>
      </w:divsChild>
    </w:div>
    <w:div w:id="643390419">
      <w:bodyDiv w:val="1"/>
      <w:marLeft w:val="0"/>
      <w:marRight w:val="0"/>
      <w:marTop w:val="0"/>
      <w:marBottom w:val="0"/>
      <w:divBdr>
        <w:top w:val="none" w:sz="0" w:space="0" w:color="auto"/>
        <w:left w:val="none" w:sz="0" w:space="0" w:color="auto"/>
        <w:bottom w:val="none" w:sz="0" w:space="0" w:color="auto"/>
        <w:right w:val="none" w:sz="0" w:space="0" w:color="auto"/>
      </w:divBdr>
      <w:divsChild>
        <w:div w:id="1108311470">
          <w:marLeft w:val="0"/>
          <w:marRight w:val="0"/>
          <w:marTop w:val="0"/>
          <w:marBottom w:val="0"/>
          <w:divBdr>
            <w:top w:val="none" w:sz="0" w:space="0" w:color="auto"/>
            <w:left w:val="none" w:sz="0" w:space="0" w:color="auto"/>
            <w:bottom w:val="none" w:sz="0" w:space="0" w:color="auto"/>
            <w:right w:val="none" w:sz="0" w:space="0" w:color="auto"/>
          </w:divBdr>
        </w:div>
        <w:div w:id="1829402220">
          <w:marLeft w:val="0"/>
          <w:marRight w:val="0"/>
          <w:marTop w:val="0"/>
          <w:marBottom w:val="0"/>
          <w:divBdr>
            <w:top w:val="none" w:sz="0" w:space="0" w:color="auto"/>
            <w:left w:val="none" w:sz="0" w:space="0" w:color="auto"/>
            <w:bottom w:val="none" w:sz="0" w:space="0" w:color="auto"/>
            <w:right w:val="none" w:sz="0" w:space="0" w:color="auto"/>
          </w:divBdr>
        </w:div>
      </w:divsChild>
    </w:div>
    <w:div w:id="672686850">
      <w:bodyDiv w:val="1"/>
      <w:marLeft w:val="0"/>
      <w:marRight w:val="0"/>
      <w:marTop w:val="0"/>
      <w:marBottom w:val="0"/>
      <w:divBdr>
        <w:top w:val="none" w:sz="0" w:space="0" w:color="auto"/>
        <w:left w:val="none" w:sz="0" w:space="0" w:color="auto"/>
        <w:bottom w:val="none" w:sz="0" w:space="0" w:color="auto"/>
        <w:right w:val="none" w:sz="0" w:space="0" w:color="auto"/>
      </w:divBdr>
    </w:div>
    <w:div w:id="720523302">
      <w:bodyDiv w:val="1"/>
      <w:marLeft w:val="0"/>
      <w:marRight w:val="0"/>
      <w:marTop w:val="0"/>
      <w:marBottom w:val="0"/>
      <w:divBdr>
        <w:top w:val="none" w:sz="0" w:space="0" w:color="auto"/>
        <w:left w:val="none" w:sz="0" w:space="0" w:color="auto"/>
        <w:bottom w:val="none" w:sz="0" w:space="0" w:color="auto"/>
        <w:right w:val="none" w:sz="0" w:space="0" w:color="auto"/>
      </w:divBdr>
    </w:div>
    <w:div w:id="764039968">
      <w:bodyDiv w:val="1"/>
      <w:marLeft w:val="0"/>
      <w:marRight w:val="0"/>
      <w:marTop w:val="0"/>
      <w:marBottom w:val="0"/>
      <w:divBdr>
        <w:top w:val="none" w:sz="0" w:space="0" w:color="auto"/>
        <w:left w:val="none" w:sz="0" w:space="0" w:color="auto"/>
        <w:bottom w:val="none" w:sz="0" w:space="0" w:color="auto"/>
        <w:right w:val="none" w:sz="0" w:space="0" w:color="auto"/>
      </w:divBdr>
    </w:div>
    <w:div w:id="794442958">
      <w:bodyDiv w:val="1"/>
      <w:marLeft w:val="0"/>
      <w:marRight w:val="0"/>
      <w:marTop w:val="0"/>
      <w:marBottom w:val="0"/>
      <w:divBdr>
        <w:top w:val="none" w:sz="0" w:space="0" w:color="auto"/>
        <w:left w:val="none" w:sz="0" w:space="0" w:color="auto"/>
        <w:bottom w:val="none" w:sz="0" w:space="0" w:color="auto"/>
        <w:right w:val="none" w:sz="0" w:space="0" w:color="auto"/>
      </w:divBdr>
      <w:divsChild>
        <w:div w:id="1791511397">
          <w:marLeft w:val="446"/>
          <w:marRight w:val="0"/>
          <w:marTop w:val="0"/>
          <w:marBottom w:val="0"/>
          <w:divBdr>
            <w:top w:val="none" w:sz="0" w:space="0" w:color="auto"/>
            <w:left w:val="none" w:sz="0" w:space="0" w:color="auto"/>
            <w:bottom w:val="none" w:sz="0" w:space="0" w:color="auto"/>
            <w:right w:val="none" w:sz="0" w:space="0" w:color="auto"/>
          </w:divBdr>
        </w:div>
        <w:div w:id="1549608473">
          <w:marLeft w:val="1166"/>
          <w:marRight w:val="0"/>
          <w:marTop w:val="0"/>
          <w:marBottom w:val="0"/>
          <w:divBdr>
            <w:top w:val="none" w:sz="0" w:space="0" w:color="auto"/>
            <w:left w:val="none" w:sz="0" w:space="0" w:color="auto"/>
            <w:bottom w:val="none" w:sz="0" w:space="0" w:color="auto"/>
            <w:right w:val="none" w:sz="0" w:space="0" w:color="auto"/>
          </w:divBdr>
        </w:div>
      </w:divsChild>
    </w:div>
    <w:div w:id="821313430">
      <w:bodyDiv w:val="1"/>
      <w:marLeft w:val="0"/>
      <w:marRight w:val="0"/>
      <w:marTop w:val="0"/>
      <w:marBottom w:val="0"/>
      <w:divBdr>
        <w:top w:val="none" w:sz="0" w:space="0" w:color="auto"/>
        <w:left w:val="none" w:sz="0" w:space="0" w:color="auto"/>
        <w:bottom w:val="none" w:sz="0" w:space="0" w:color="auto"/>
        <w:right w:val="none" w:sz="0" w:space="0" w:color="auto"/>
      </w:divBdr>
    </w:div>
    <w:div w:id="833230372">
      <w:bodyDiv w:val="1"/>
      <w:marLeft w:val="0"/>
      <w:marRight w:val="0"/>
      <w:marTop w:val="0"/>
      <w:marBottom w:val="0"/>
      <w:divBdr>
        <w:top w:val="none" w:sz="0" w:space="0" w:color="auto"/>
        <w:left w:val="none" w:sz="0" w:space="0" w:color="auto"/>
        <w:bottom w:val="none" w:sz="0" w:space="0" w:color="auto"/>
        <w:right w:val="none" w:sz="0" w:space="0" w:color="auto"/>
      </w:divBdr>
    </w:div>
    <w:div w:id="850728672">
      <w:bodyDiv w:val="1"/>
      <w:marLeft w:val="0"/>
      <w:marRight w:val="0"/>
      <w:marTop w:val="0"/>
      <w:marBottom w:val="0"/>
      <w:divBdr>
        <w:top w:val="none" w:sz="0" w:space="0" w:color="auto"/>
        <w:left w:val="none" w:sz="0" w:space="0" w:color="auto"/>
        <w:bottom w:val="none" w:sz="0" w:space="0" w:color="auto"/>
        <w:right w:val="none" w:sz="0" w:space="0" w:color="auto"/>
      </w:divBdr>
      <w:divsChild>
        <w:div w:id="277567348">
          <w:marLeft w:val="1080"/>
          <w:marRight w:val="0"/>
          <w:marTop w:val="100"/>
          <w:marBottom w:val="0"/>
          <w:divBdr>
            <w:top w:val="none" w:sz="0" w:space="0" w:color="auto"/>
            <w:left w:val="none" w:sz="0" w:space="0" w:color="auto"/>
            <w:bottom w:val="none" w:sz="0" w:space="0" w:color="auto"/>
            <w:right w:val="none" w:sz="0" w:space="0" w:color="auto"/>
          </w:divBdr>
        </w:div>
        <w:div w:id="753628897">
          <w:marLeft w:val="360"/>
          <w:marRight w:val="0"/>
          <w:marTop w:val="200"/>
          <w:marBottom w:val="0"/>
          <w:divBdr>
            <w:top w:val="none" w:sz="0" w:space="0" w:color="auto"/>
            <w:left w:val="none" w:sz="0" w:space="0" w:color="auto"/>
            <w:bottom w:val="none" w:sz="0" w:space="0" w:color="auto"/>
            <w:right w:val="none" w:sz="0" w:space="0" w:color="auto"/>
          </w:divBdr>
        </w:div>
        <w:div w:id="1112093621">
          <w:marLeft w:val="1080"/>
          <w:marRight w:val="0"/>
          <w:marTop w:val="100"/>
          <w:marBottom w:val="0"/>
          <w:divBdr>
            <w:top w:val="none" w:sz="0" w:space="0" w:color="auto"/>
            <w:left w:val="none" w:sz="0" w:space="0" w:color="auto"/>
            <w:bottom w:val="none" w:sz="0" w:space="0" w:color="auto"/>
            <w:right w:val="none" w:sz="0" w:space="0" w:color="auto"/>
          </w:divBdr>
        </w:div>
        <w:div w:id="1217739494">
          <w:marLeft w:val="1080"/>
          <w:marRight w:val="0"/>
          <w:marTop w:val="100"/>
          <w:marBottom w:val="0"/>
          <w:divBdr>
            <w:top w:val="none" w:sz="0" w:space="0" w:color="auto"/>
            <w:left w:val="none" w:sz="0" w:space="0" w:color="auto"/>
            <w:bottom w:val="none" w:sz="0" w:space="0" w:color="auto"/>
            <w:right w:val="none" w:sz="0" w:space="0" w:color="auto"/>
          </w:divBdr>
        </w:div>
        <w:div w:id="1714843370">
          <w:marLeft w:val="360"/>
          <w:marRight w:val="0"/>
          <w:marTop w:val="200"/>
          <w:marBottom w:val="0"/>
          <w:divBdr>
            <w:top w:val="none" w:sz="0" w:space="0" w:color="auto"/>
            <w:left w:val="none" w:sz="0" w:space="0" w:color="auto"/>
            <w:bottom w:val="none" w:sz="0" w:space="0" w:color="auto"/>
            <w:right w:val="none" w:sz="0" w:space="0" w:color="auto"/>
          </w:divBdr>
        </w:div>
      </w:divsChild>
    </w:div>
    <w:div w:id="981301845">
      <w:bodyDiv w:val="1"/>
      <w:marLeft w:val="0"/>
      <w:marRight w:val="0"/>
      <w:marTop w:val="0"/>
      <w:marBottom w:val="0"/>
      <w:divBdr>
        <w:top w:val="none" w:sz="0" w:space="0" w:color="auto"/>
        <w:left w:val="none" w:sz="0" w:space="0" w:color="auto"/>
        <w:bottom w:val="none" w:sz="0" w:space="0" w:color="auto"/>
        <w:right w:val="none" w:sz="0" w:space="0" w:color="auto"/>
      </w:divBdr>
    </w:div>
    <w:div w:id="1075934586">
      <w:bodyDiv w:val="1"/>
      <w:marLeft w:val="0"/>
      <w:marRight w:val="0"/>
      <w:marTop w:val="0"/>
      <w:marBottom w:val="0"/>
      <w:divBdr>
        <w:top w:val="none" w:sz="0" w:space="0" w:color="auto"/>
        <w:left w:val="none" w:sz="0" w:space="0" w:color="auto"/>
        <w:bottom w:val="none" w:sz="0" w:space="0" w:color="auto"/>
        <w:right w:val="none" w:sz="0" w:space="0" w:color="auto"/>
      </w:divBdr>
      <w:divsChild>
        <w:div w:id="274602236">
          <w:marLeft w:val="547"/>
          <w:marRight w:val="0"/>
          <w:marTop w:val="0"/>
          <w:marBottom w:val="120"/>
          <w:divBdr>
            <w:top w:val="none" w:sz="0" w:space="0" w:color="auto"/>
            <w:left w:val="none" w:sz="0" w:space="0" w:color="auto"/>
            <w:bottom w:val="none" w:sz="0" w:space="0" w:color="auto"/>
            <w:right w:val="none" w:sz="0" w:space="0" w:color="auto"/>
          </w:divBdr>
        </w:div>
        <w:div w:id="1273709596">
          <w:marLeft w:val="1166"/>
          <w:marRight w:val="0"/>
          <w:marTop w:val="0"/>
          <w:marBottom w:val="120"/>
          <w:divBdr>
            <w:top w:val="none" w:sz="0" w:space="0" w:color="auto"/>
            <w:left w:val="none" w:sz="0" w:space="0" w:color="auto"/>
            <w:bottom w:val="none" w:sz="0" w:space="0" w:color="auto"/>
            <w:right w:val="none" w:sz="0" w:space="0" w:color="auto"/>
          </w:divBdr>
        </w:div>
        <w:div w:id="1459450482">
          <w:marLeft w:val="1166"/>
          <w:marRight w:val="0"/>
          <w:marTop w:val="0"/>
          <w:marBottom w:val="120"/>
          <w:divBdr>
            <w:top w:val="none" w:sz="0" w:space="0" w:color="auto"/>
            <w:left w:val="none" w:sz="0" w:space="0" w:color="auto"/>
            <w:bottom w:val="none" w:sz="0" w:space="0" w:color="auto"/>
            <w:right w:val="none" w:sz="0" w:space="0" w:color="auto"/>
          </w:divBdr>
        </w:div>
        <w:div w:id="1631785963">
          <w:marLeft w:val="547"/>
          <w:marRight w:val="0"/>
          <w:marTop w:val="0"/>
          <w:marBottom w:val="120"/>
          <w:divBdr>
            <w:top w:val="none" w:sz="0" w:space="0" w:color="auto"/>
            <w:left w:val="none" w:sz="0" w:space="0" w:color="auto"/>
            <w:bottom w:val="none" w:sz="0" w:space="0" w:color="auto"/>
            <w:right w:val="none" w:sz="0" w:space="0" w:color="auto"/>
          </w:divBdr>
        </w:div>
        <w:div w:id="1813979613">
          <w:marLeft w:val="547"/>
          <w:marRight w:val="0"/>
          <w:marTop w:val="0"/>
          <w:marBottom w:val="120"/>
          <w:divBdr>
            <w:top w:val="none" w:sz="0" w:space="0" w:color="auto"/>
            <w:left w:val="none" w:sz="0" w:space="0" w:color="auto"/>
            <w:bottom w:val="none" w:sz="0" w:space="0" w:color="auto"/>
            <w:right w:val="none" w:sz="0" w:space="0" w:color="auto"/>
          </w:divBdr>
        </w:div>
      </w:divsChild>
    </w:div>
    <w:div w:id="1157653032">
      <w:bodyDiv w:val="1"/>
      <w:marLeft w:val="0"/>
      <w:marRight w:val="0"/>
      <w:marTop w:val="0"/>
      <w:marBottom w:val="0"/>
      <w:divBdr>
        <w:top w:val="none" w:sz="0" w:space="0" w:color="auto"/>
        <w:left w:val="none" w:sz="0" w:space="0" w:color="auto"/>
        <w:bottom w:val="none" w:sz="0" w:space="0" w:color="auto"/>
        <w:right w:val="none" w:sz="0" w:space="0" w:color="auto"/>
      </w:divBdr>
    </w:div>
    <w:div w:id="1206799114">
      <w:bodyDiv w:val="1"/>
      <w:marLeft w:val="0"/>
      <w:marRight w:val="0"/>
      <w:marTop w:val="0"/>
      <w:marBottom w:val="0"/>
      <w:divBdr>
        <w:top w:val="none" w:sz="0" w:space="0" w:color="auto"/>
        <w:left w:val="none" w:sz="0" w:space="0" w:color="auto"/>
        <w:bottom w:val="none" w:sz="0" w:space="0" w:color="auto"/>
        <w:right w:val="none" w:sz="0" w:space="0" w:color="auto"/>
      </w:divBdr>
    </w:div>
    <w:div w:id="1242106238">
      <w:bodyDiv w:val="1"/>
      <w:marLeft w:val="0"/>
      <w:marRight w:val="0"/>
      <w:marTop w:val="0"/>
      <w:marBottom w:val="0"/>
      <w:divBdr>
        <w:top w:val="none" w:sz="0" w:space="0" w:color="auto"/>
        <w:left w:val="none" w:sz="0" w:space="0" w:color="auto"/>
        <w:bottom w:val="none" w:sz="0" w:space="0" w:color="auto"/>
        <w:right w:val="none" w:sz="0" w:space="0" w:color="auto"/>
      </w:divBdr>
    </w:div>
    <w:div w:id="1245798460">
      <w:bodyDiv w:val="1"/>
      <w:marLeft w:val="0"/>
      <w:marRight w:val="0"/>
      <w:marTop w:val="0"/>
      <w:marBottom w:val="0"/>
      <w:divBdr>
        <w:top w:val="none" w:sz="0" w:space="0" w:color="auto"/>
        <w:left w:val="none" w:sz="0" w:space="0" w:color="auto"/>
        <w:bottom w:val="none" w:sz="0" w:space="0" w:color="auto"/>
        <w:right w:val="none" w:sz="0" w:space="0" w:color="auto"/>
      </w:divBdr>
    </w:div>
    <w:div w:id="1328558324">
      <w:bodyDiv w:val="1"/>
      <w:marLeft w:val="0"/>
      <w:marRight w:val="0"/>
      <w:marTop w:val="0"/>
      <w:marBottom w:val="0"/>
      <w:divBdr>
        <w:top w:val="none" w:sz="0" w:space="0" w:color="auto"/>
        <w:left w:val="none" w:sz="0" w:space="0" w:color="auto"/>
        <w:bottom w:val="none" w:sz="0" w:space="0" w:color="auto"/>
        <w:right w:val="none" w:sz="0" w:space="0" w:color="auto"/>
      </w:divBdr>
    </w:div>
    <w:div w:id="1377512228">
      <w:bodyDiv w:val="1"/>
      <w:marLeft w:val="0"/>
      <w:marRight w:val="0"/>
      <w:marTop w:val="0"/>
      <w:marBottom w:val="0"/>
      <w:divBdr>
        <w:top w:val="none" w:sz="0" w:space="0" w:color="auto"/>
        <w:left w:val="none" w:sz="0" w:space="0" w:color="auto"/>
        <w:bottom w:val="none" w:sz="0" w:space="0" w:color="auto"/>
        <w:right w:val="none" w:sz="0" w:space="0" w:color="auto"/>
      </w:divBdr>
      <w:divsChild>
        <w:div w:id="506403901">
          <w:marLeft w:val="547"/>
          <w:marRight w:val="0"/>
          <w:marTop w:val="0"/>
          <w:marBottom w:val="0"/>
          <w:divBdr>
            <w:top w:val="none" w:sz="0" w:space="0" w:color="auto"/>
            <w:left w:val="none" w:sz="0" w:space="0" w:color="auto"/>
            <w:bottom w:val="none" w:sz="0" w:space="0" w:color="auto"/>
            <w:right w:val="none" w:sz="0" w:space="0" w:color="auto"/>
          </w:divBdr>
        </w:div>
        <w:div w:id="1392188546">
          <w:marLeft w:val="547"/>
          <w:marRight w:val="0"/>
          <w:marTop w:val="0"/>
          <w:marBottom w:val="0"/>
          <w:divBdr>
            <w:top w:val="none" w:sz="0" w:space="0" w:color="auto"/>
            <w:left w:val="none" w:sz="0" w:space="0" w:color="auto"/>
            <w:bottom w:val="none" w:sz="0" w:space="0" w:color="auto"/>
            <w:right w:val="none" w:sz="0" w:space="0" w:color="auto"/>
          </w:divBdr>
        </w:div>
      </w:divsChild>
    </w:div>
    <w:div w:id="1441608438">
      <w:bodyDiv w:val="1"/>
      <w:marLeft w:val="0"/>
      <w:marRight w:val="0"/>
      <w:marTop w:val="0"/>
      <w:marBottom w:val="0"/>
      <w:divBdr>
        <w:top w:val="none" w:sz="0" w:space="0" w:color="auto"/>
        <w:left w:val="none" w:sz="0" w:space="0" w:color="auto"/>
        <w:bottom w:val="none" w:sz="0" w:space="0" w:color="auto"/>
        <w:right w:val="none" w:sz="0" w:space="0" w:color="auto"/>
      </w:divBdr>
    </w:div>
    <w:div w:id="1442334994">
      <w:bodyDiv w:val="1"/>
      <w:marLeft w:val="0"/>
      <w:marRight w:val="0"/>
      <w:marTop w:val="0"/>
      <w:marBottom w:val="0"/>
      <w:divBdr>
        <w:top w:val="none" w:sz="0" w:space="0" w:color="auto"/>
        <w:left w:val="none" w:sz="0" w:space="0" w:color="auto"/>
        <w:bottom w:val="none" w:sz="0" w:space="0" w:color="auto"/>
        <w:right w:val="none" w:sz="0" w:space="0" w:color="auto"/>
      </w:divBdr>
    </w:div>
    <w:div w:id="1459836795">
      <w:bodyDiv w:val="1"/>
      <w:marLeft w:val="0"/>
      <w:marRight w:val="0"/>
      <w:marTop w:val="0"/>
      <w:marBottom w:val="0"/>
      <w:divBdr>
        <w:top w:val="none" w:sz="0" w:space="0" w:color="auto"/>
        <w:left w:val="none" w:sz="0" w:space="0" w:color="auto"/>
        <w:bottom w:val="none" w:sz="0" w:space="0" w:color="auto"/>
        <w:right w:val="none" w:sz="0" w:space="0" w:color="auto"/>
      </w:divBdr>
      <w:divsChild>
        <w:div w:id="892425244">
          <w:marLeft w:val="547"/>
          <w:marRight w:val="0"/>
          <w:marTop w:val="0"/>
          <w:marBottom w:val="60"/>
          <w:divBdr>
            <w:top w:val="none" w:sz="0" w:space="0" w:color="auto"/>
            <w:left w:val="none" w:sz="0" w:space="0" w:color="auto"/>
            <w:bottom w:val="none" w:sz="0" w:space="0" w:color="auto"/>
            <w:right w:val="none" w:sz="0" w:space="0" w:color="auto"/>
          </w:divBdr>
        </w:div>
        <w:div w:id="1542325686">
          <w:marLeft w:val="547"/>
          <w:marRight w:val="0"/>
          <w:marTop w:val="0"/>
          <w:marBottom w:val="60"/>
          <w:divBdr>
            <w:top w:val="none" w:sz="0" w:space="0" w:color="auto"/>
            <w:left w:val="none" w:sz="0" w:space="0" w:color="auto"/>
            <w:bottom w:val="none" w:sz="0" w:space="0" w:color="auto"/>
            <w:right w:val="none" w:sz="0" w:space="0" w:color="auto"/>
          </w:divBdr>
        </w:div>
      </w:divsChild>
    </w:div>
    <w:div w:id="1471705756">
      <w:bodyDiv w:val="1"/>
      <w:marLeft w:val="0"/>
      <w:marRight w:val="0"/>
      <w:marTop w:val="0"/>
      <w:marBottom w:val="0"/>
      <w:divBdr>
        <w:top w:val="none" w:sz="0" w:space="0" w:color="auto"/>
        <w:left w:val="none" w:sz="0" w:space="0" w:color="auto"/>
        <w:bottom w:val="none" w:sz="0" w:space="0" w:color="auto"/>
        <w:right w:val="none" w:sz="0" w:space="0" w:color="auto"/>
      </w:divBdr>
    </w:div>
    <w:div w:id="1486314051">
      <w:bodyDiv w:val="1"/>
      <w:marLeft w:val="0"/>
      <w:marRight w:val="0"/>
      <w:marTop w:val="0"/>
      <w:marBottom w:val="0"/>
      <w:divBdr>
        <w:top w:val="none" w:sz="0" w:space="0" w:color="auto"/>
        <w:left w:val="none" w:sz="0" w:space="0" w:color="auto"/>
        <w:bottom w:val="none" w:sz="0" w:space="0" w:color="auto"/>
        <w:right w:val="none" w:sz="0" w:space="0" w:color="auto"/>
      </w:divBdr>
    </w:div>
    <w:div w:id="1518033501">
      <w:bodyDiv w:val="1"/>
      <w:marLeft w:val="0"/>
      <w:marRight w:val="0"/>
      <w:marTop w:val="0"/>
      <w:marBottom w:val="0"/>
      <w:divBdr>
        <w:top w:val="none" w:sz="0" w:space="0" w:color="auto"/>
        <w:left w:val="none" w:sz="0" w:space="0" w:color="auto"/>
        <w:bottom w:val="none" w:sz="0" w:space="0" w:color="auto"/>
        <w:right w:val="none" w:sz="0" w:space="0" w:color="auto"/>
      </w:divBdr>
    </w:div>
    <w:div w:id="1572033685">
      <w:bodyDiv w:val="1"/>
      <w:marLeft w:val="0"/>
      <w:marRight w:val="0"/>
      <w:marTop w:val="0"/>
      <w:marBottom w:val="0"/>
      <w:divBdr>
        <w:top w:val="none" w:sz="0" w:space="0" w:color="auto"/>
        <w:left w:val="none" w:sz="0" w:space="0" w:color="auto"/>
        <w:bottom w:val="none" w:sz="0" w:space="0" w:color="auto"/>
        <w:right w:val="none" w:sz="0" w:space="0" w:color="auto"/>
      </w:divBdr>
    </w:div>
    <w:div w:id="1589970316">
      <w:bodyDiv w:val="1"/>
      <w:marLeft w:val="0"/>
      <w:marRight w:val="0"/>
      <w:marTop w:val="0"/>
      <w:marBottom w:val="0"/>
      <w:divBdr>
        <w:top w:val="none" w:sz="0" w:space="0" w:color="auto"/>
        <w:left w:val="none" w:sz="0" w:space="0" w:color="auto"/>
        <w:bottom w:val="none" w:sz="0" w:space="0" w:color="auto"/>
        <w:right w:val="none" w:sz="0" w:space="0" w:color="auto"/>
      </w:divBdr>
      <w:divsChild>
        <w:div w:id="667559937">
          <w:marLeft w:val="547"/>
          <w:marRight w:val="0"/>
          <w:marTop w:val="0"/>
          <w:marBottom w:val="0"/>
          <w:divBdr>
            <w:top w:val="none" w:sz="0" w:space="0" w:color="auto"/>
            <w:left w:val="none" w:sz="0" w:space="0" w:color="auto"/>
            <w:bottom w:val="none" w:sz="0" w:space="0" w:color="auto"/>
            <w:right w:val="none" w:sz="0" w:space="0" w:color="auto"/>
          </w:divBdr>
        </w:div>
        <w:div w:id="660617940">
          <w:marLeft w:val="547"/>
          <w:marRight w:val="0"/>
          <w:marTop w:val="0"/>
          <w:marBottom w:val="0"/>
          <w:divBdr>
            <w:top w:val="none" w:sz="0" w:space="0" w:color="auto"/>
            <w:left w:val="none" w:sz="0" w:space="0" w:color="auto"/>
            <w:bottom w:val="none" w:sz="0" w:space="0" w:color="auto"/>
            <w:right w:val="none" w:sz="0" w:space="0" w:color="auto"/>
          </w:divBdr>
        </w:div>
        <w:div w:id="1813716790">
          <w:marLeft w:val="547"/>
          <w:marRight w:val="0"/>
          <w:marTop w:val="0"/>
          <w:marBottom w:val="0"/>
          <w:divBdr>
            <w:top w:val="none" w:sz="0" w:space="0" w:color="auto"/>
            <w:left w:val="none" w:sz="0" w:space="0" w:color="auto"/>
            <w:bottom w:val="none" w:sz="0" w:space="0" w:color="auto"/>
            <w:right w:val="none" w:sz="0" w:space="0" w:color="auto"/>
          </w:divBdr>
        </w:div>
        <w:div w:id="1868761421">
          <w:marLeft w:val="547"/>
          <w:marRight w:val="0"/>
          <w:marTop w:val="0"/>
          <w:marBottom w:val="0"/>
          <w:divBdr>
            <w:top w:val="none" w:sz="0" w:space="0" w:color="auto"/>
            <w:left w:val="none" w:sz="0" w:space="0" w:color="auto"/>
            <w:bottom w:val="none" w:sz="0" w:space="0" w:color="auto"/>
            <w:right w:val="none" w:sz="0" w:space="0" w:color="auto"/>
          </w:divBdr>
        </w:div>
      </w:divsChild>
    </w:div>
    <w:div w:id="1670323969">
      <w:bodyDiv w:val="1"/>
      <w:marLeft w:val="0"/>
      <w:marRight w:val="0"/>
      <w:marTop w:val="0"/>
      <w:marBottom w:val="0"/>
      <w:divBdr>
        <w:top w:val="none" w:sz="0" w:space="0" w:color="auto"/>
        <w:left w:val="none" w:sz="0" w:space="0" w:color="auto"/>
        <w:bottom w:val="none" w:sz="0" w:space="0" w:color="auto"/>
        <w:right w:val="none" w:sz="0" w:space="0" w:color="auto"/>
      </w:divBdr>
    </w:div>
    <w:div w:id="1721444449">
      <w:bodyDiv w:val="1"/>
      <w:marLeft w:val="0"/>
      <w:marRight w:val="0"/>
      <w:marTop w:val="0"/>
      <w:marBottom w:val="0"/>
      <w:divBdr>
        <w:top w:val="none" w:sz="0" w:space="0" w:color="auto"/>
        <w:left w:val="none" w:sz="0" w:space="0" w:color="auto"/>
        <w:bottom w:val="none" w:sz="0" w:space="0" w:color="auto"/>
        <w:right w:val="none" w:sz="0" w:space="0" w:color="auto"/>
      </w:divBdr>
    </w:div>
    <w:div w:id="1746412641">
      <w:bodyDiv w:val="1"/>
      <w:marLeft w:val="0"/>
      <w:marRight w:val="0"/>
      <w:marTop w:val="0"/>
      <w:marBottom w:val="0"/>
      <w:divBdr>
        <w:top w:val="none" w:sz="0" w:space="0" w:color="auto"/>
        <w:left w:val="none" w:sz="0" w:space="0" w:color="auto"/>
        <w:bottom w:val="none" w:sz="0" w:space="0" w:color="auto"/>
        <w:right w:val="none" w:sz="0" w:space="0" w:color="auto"/>
      </w:divBdr>
    </w:div>
    <w:div w:id="1845315779">
      <w:bodyDiv w:val="1"/>
      <w:marLeft w:val="0"/>
      <w:marRight w:val="0"/>
      <w:marTop w:val="0"/>
      <w:marBottom w:val="0"/>
      <w:divBdr>
        <w:top w:val="none" w:sz="0" w:space="0" w:color="auto"/>
        <w:left w:val="none" w:sz="0" w:space="0" w:color="auto"/>
        <w:bottom w:val="none" w:sz="0" w:space="0" w:color="auto"/>
        <w:right w:val="none" w:sz="0" w:space="0" w:color="auto"/>
      </w:divBdr>
    </w:div>
    <w:div w:id="1961298177">
      <w:bodyDiv w:val="1"/>
      <w:marLeft w:val="0"/>
      <w:marRight w:val="0"/>
      <w:marTop w:val="0"/>
      <w:marBottom w:val="0"/>
      <w:divBdr>
        <w:top w:val="none" w:sz="0" w:space="0" w:color="auto"/>
        <w:left w:val="none" w:sz="0" w:space="0" w:color="auto"/>
        <w:bottom w:val="none" w:sz="0" w:space="0" w:color="auto"/>
        <w:right w:val="none" w:sz="0" w:space="0" w:color="auto"/>
      </w:divBdr>
    </w:div>
    <w:div w:id="1987856413">
      <w:bodyDiv w:val="1"/>
      <w:marLeft w:val="0"/>
      <w:marRight w:val="0"/>
      <w:marTop w:val="0"/>
      <w:marBottom w:val="0"/>
      <w:divBdr>
        <w:top w:val="none" w:sz="0" w:space="0" w:color="auto"/>
        <w:left w:val="none" w:sz="0" w:space="0" w:color="auto"/>
        <w:bottom w:val="none" w:sz="0" w:space="0" w:color="auto"/>
        <w:right w:val="none" w:sz="0" w:space="0" w:color="auto"/>
      </w:divBdr>
    </w:div>
    <w:div w:id="1990866585">
      <w:bodyDiv w:val="1"/>
      <w:marLeft w:val="0"/>
      <w:marRight w:val="0"/>
      <w:marTop w:val="0"/>
      <w:marBottom w:val="0"/>
      <w:divBdr>
        <w:top w:val="none" w:sz="0" w:space="0" w:color="auto"/>
        <w:left w:val="none" w:sz="0" w:space="0" w:color="auto"/>
        <w:bottom w:val="none" w:sz="0" w:space="0" w:color="auto"/>
        <w:right w:val="none" w:sz="0" w:space="0" w:color="auto"/>
      </w:divBdr>
    </w:div>
    <w:div w:id="2024435638">
      <w:bodyDiv w:val="1"/>
      <w:marLeft w:val="0"/>
      <w:marRight w:val="0"/>
      <w:marTop w:val="0"/>
      <w:marBottom w:val="0"/>
      <w:divBdr>
        <w:top w:val="none" w:sz="0" w:space="0" w:color="auto"/>
        <w:left w:val="none" w:sz="0" w:space="0" w:color="auto"/>
        <w:bottom w:val="none" w:sz="0" w:space="0" w:color="auto"/>
        <w:right w:val="none" w:sz="0" w:space="0" w:color="auto"/>
      </w:divBdr>
      <w:divsChild>
        <w:div w:id="106850581">
          <w:marLeft w:val="1166"/>
          <w:marRight w:val="0"/>
          <w:marTop w:val="0"/>
          <w:marBottom w:val="0"/>
          <w:divBdr>
            <w:top w:val="none" w:sz="0" w:space="0" w:color="auto"/>
            <w:left w:val="none" w:sz="0" w:space="0" w:color="auto"/>
            <w:bottom w:val="none" w:sz="0" w:space="0" w:color="auto"/>
            <w:right w:val="none" w:sz="0" w:space="0" w:color="auto"/>
          </w:divBdr>
        </w:div>
        <w:div w:id="318928041">
          <w:marLeft w:val="547"/>
          <w:marRight w:val="0"/>
          <w:marTop w:val="0"/>
          <w:marBottom w:val="0"/>
          <w:divBdr>
            <w:top w:val="none" w:sz="0" w:space="0" w:color="auto"/>
            <w:left w:val="none" w:sz="0" w:space="0" w:color="auto"/>
            <w:bottom w:val="none" w:sz="0" w:space="0" w:color="auto"/>
            <w:right w:val="none" w:sz="0" w:space="0" w:color="auto"/>
          </w:divBdr>
        </w:div>
        <w:div w:id="653023704">
          <w:marLeft w:val="1166"/>
          <w:marRight w:val="0"/>
          <w:marTop w:val="0"/>
          <w:marBottom w:val="0"/>
          <w:divBdr>
            <w:top w:val="none" w:sz="0" w:space="0" w:color="auto"/>
            <w:left w:val="none" w:sz="0" w:space="0" w:color="auto"/>
            <w:bottom w:val="none" w:sz="0" w:space="0" w:color="auto"/>
            <w:right w:val="none" w:sz="0" w:space="0" w:color="auto"/>
          </w:divBdr>
        </w:div>
        <w:div w:id="952786325">
          <w:marLeft w:val="1166"/>
          <w:marRight w:val="0"/>
          <w:marTop w:val="0"/>
          <w:marBottom w:val="0"/>
          <w:divBdr>
            <w:top w:val="none" w:sz="0" w:space="0" w:color="auto"/>
            <w:left w:val="none" w:sz="0" w:space="0" w:color="auto"/>
            <w:bottom w:val="none" w:sz="0" w:space="0" w:color="auto"/>
            <w:right w:val="none" w:sz="0" w:space="0" w:color="auto"/>
          </w:divBdr>
        </w:div>
        <w:div w:id="1336149722">
          <w:marLeft w:val="547"/>
          <w:marRight w:val="0"/>
          <w:marTop w:val="0"/>
          <w:marBottom w:val="0"/>
          <w:divBdr>
            <w:top w:val="none" w:sz="0" w:space="0" w:color="auto"/>
            <w:left w:val="none" w:sz="0" w:space="0" w:color="auto"/>
            <w:bottom w:val="none" w:sz="0" w:space="0" w:color="auto"/>
            <w:right w:val="none" w:sz="0" w:space="0" w:color="auto"/>
          </w:divBdr>
        </w:div>
        <w:div w:id="1448426748">
          <w:marLeft w:val="547"/>
          <w:marRight w:val="0"/>
          <w:marTop w:val="0"/>
          <w:marBottom w:val="0"/>
          <w:divBdr>
            <w:top w:val="none" w:sz="0" w:space="0" w:color="auto"/>
            <w:left w:val="none" w:sz="0" w:space="0" w:color="auto"/>
            <w:bottom w:val="none" w:sz="0" w:space="0" w:color="auto"/>
            <w:right w:val="none" w:sz="0" w:space="0" w:color="auto"/>
          </w:divBdr>
        </w:div>
        <w:div w:id="1522621142">
          <w:marLeft w:val="547"/>
          <w:marRight w:val="0"/>
          <w:marTop w:val="0"/>
          <w:marBottom w:val="0"/>
          <w:divBdr>
            <w:top w:val="none" w:sz="0" w:space="0" w:color="auto"/>
            <w:left w:val="none" w:sz="0" w:space="0" w:color="auto"/>
            <w:bottom w:val="none" w:sz="0" w:space="0" w:color="auto"/>
            <w:right w:val="none" w:sz="0" w:space="0" w:color="auto"/>
          </w:divBdr>
        </w:div>
        <w:div w:id="1581057491">
          <w:marLeft w:val="547"/>
          <w:marRight w:val="0"/>
          <w:marTop w:val="0"/>
          <w:marBottom w:val="0"/>
          <w:divBdr>
            <w:top w:val="none" w:sz="0" w:space="0" w:color="auto"/>
            <w:left w:val="none" w:sz="0" w:space="0" w:color="auto"/>
            <w:bottom w:val="none" w:sz="0" w:space="0" w:color="auto"/>
            <w:right w:val="none" w:sz="0" w:space="0" w:color="auto"/>
          </w:divBdr>
        </w:div>
        <w:div w:id="1881937490">
          <w:marLeft w:val="547"/>
          <w:marRight w:val="0"/>
          <w:marTop w:val="0"/>
          <w:marBottom w:val="0"/>
          <w:divBdr>
            <w:top w:val="none" w:sz="0" w:space="0" w:color="auto"/>
            <w:left w:val="none" w:sz="0" w:space="0" w:color="auto"/>
            <w:bottom w:val="none" w:sz="0" w:space="0" w:color="auto"/>
            <w:right w:val="none" w:sz="0" w:space="0" w:color="auto"/>
          </w:divBdr>
        </w:div>
      </w:divsChild>
    </w:div>
    <w:div w:id="2051369515">
      <w:bodyDiv w:val="1"/>
      <w:marLeft w:val="0"/>
      <w:marRight w:val="0"/>
      <w:marTop w:val="0"/>
      <w:marBottom w:val="0"/>
      <w:divBdr>
        <w:top w:val="none" w:sz="0" w:space="0" w:color="auto"/>
        <w:left w:val="none" w:sz="0" w:space="0" w:color="auto"/>
        <w:bottom w:val="none" w:sz="0" w:space="0" w:color="auto"/>
        <w:right w:val="none" w:sz="0" w:space="0" w:color="auto"/>
      </w:divBdr>
      <w:divsChild>
        <w:div w:id="1881936867">
          <w:marLeft w:val="0"/>
          <w:marRight w:val="0"/>
          <w:marTop w:val="0"/>
          <w:marBottom w:val="0"/>
          <w:divBdr>
            <w:top w:val="none" w:sz="0" w:space="0" w:color="auto"/>
            <w:left w:val="none" w:sz="0" w:space="0" w:color="auto"/>
            <w:bottom w:val="none" w:sz="0" w:space="0" w:color="auto"/>
            <w:right w:val="none" w:sz="0" w:space="0" w:color="auto"/>
          </w:divBdr>
        </w:div>
        <w:div w:id="2068797082">
          <w:marLeft w:val="0"/>
          <w:marRight w:val="0"/>
          <w:marTop w:val="0"/>
          <w:marBottom w:val="0"/>
          <w:divBdr>
            <w:top w:val="none" w:sz="0" w:space="0" w:color="auto"/>
            <w:left w:val="none" w:sz="0" w:space="0" w:color="auto"/>
            <w:bottom w:val="none" w:sz="0" w:space="0" w:color="auto"/>
            <w:right w:val="none" w:sz="0" w:space="0" w:color="auto"/>
          </w:divBdr>
        </w:div>
      </w:divsChild>
    </w:div>
    <w:div w:id="2073116407">
      <w:bodyDiv w:val="1"/>
      <w:marLeft w:val="0"/>
      <w:marRight w:val="0"/>
      <w:marTop w:val="0"/>
      <w:marBottom w:val="0"/>
      <w:divBdr>
        <w:top w:val="none" w:sz="0" w:space="0" w:color="auto"/>
        <w:left w:val="none" w:sz="0" w:space="0" w:color="auto"/>
        <w:bottom w:val="none" w:sz="0" w:space="0" w:color="auto"/>
        <w:right w:val="none" w:sz="0" w:space="0" w:color="auto"/>
      </w:divBdr>
    </w:div>
    <w:div w:id="2094155192">
      <w:bodyDiv w:val="1"/>
      <w:marLeft w:val="0"/>
      <w:marRight w:val="0"/>
      <w:marTop w:val="0"/>
      <w:marBottom w:val="0"/>
      <w:divBdr>
        <w:top w:val="none" w:sz="0" w:space="0" w:color="auto"/>
        <w:left w:val="none" w:sz="0" w:space="0" w:color="auto"/>
        <w:bottom w:val="none" w:sz="0" w:space="0" w:color="auto"/>
        <w:right w:val="none" w:sz="0" w:space="0" w:color="auto"/>
      </w:divBdr>
      <w:divsChild>
        <w:div w:id="42290565">
          <w:marLeft w:val="994"/>
          <w:marRight w:val="0"/>
          <w:marTop w:val="0"/>
          <w:marBottom w:val="0"/>
          <w:divBdr>
            <w:top w:val="none" w:sz="0" w:space="0" w:color="auto"/>
            <w:left w:val="none" w:sz="0" w:space="0" w:color="auto"/>
            <w:bottom w:val="none" w:sz="0" w:space="0" w:color="auto"/>
            <w:right w:val="none" w:sz="0" w:space="0" w:color="auto"/>
          </w:divBdr>
        </w:div>
      </w:divsChild>
    </w:div>
    <w:div w:id="2142186843">
      <w:bodyDiv w:val="1"/>
      <w:marLeft w:val="0"/>
      <w:marRight w:val="0"/>
      <w:marTop w:val="0"/>
      <w:marBottom w:val="0"/>
      <w:divBdr>
        <w:top w:val="none" w:sz="0" w:space="0" w:color="auto"/>
        <w:left w:val="none" w:sz="0" w:space="0" w:color="auto"/>
        <w:bottom w:val="none" w:sz="0" w:space="0" w:color="auto"/>
        <w:right w:val="none" w:sz="0" w:space="0" w:color="auto"/>
      </w:divBdr>
      <w:divsChild>
        <w:div w:id="952176519">
          <w:marLeft w:val="547"/>
          <w:marRight w:val="0"/>
          <w:marTop w:val="0"/>
          <w:marBottom w:val="0"/>
          <w:divBdr>
            <w:top w:val="none" w:sz="0" w:space="0" w:color="auto"/>
            <w:left w:val="none" w:sz="0" w:space="0" w:color="auto"/>
            <w:bottom w:val="none" w:sz="0" w:space="0" w:color="auto"/>
            <w:right w:val="none" w:sz="0" w:space="0" w:color="auto"/>
          </w:divBdr>
        </w:div>
        <w:div w:id="2128885501">
          <w:marLeft w:val="547"/>
          <w:marRight w:val="0"/>
          <w:marTop w:val="0"/>
          <w:marBottom w:val="0"/>
          <w:divBdr>
            <w:top w:val="none" w:sz="0" w:space="0" w:color="auto"/>
            <w:left w:val="none" w:sz="0" w:space="0" w:color="auto"/>
            <w:bottom w:val="none" w:sz="0" w:space="0" w:color="auto"/>
            <w:right w:val="none" w:sz="0" w:space="0" w:color="auto"/>
          </w:divBdr>
        </w:div>
        <w:div w:id="147649036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5AIRPNAIUNRU-1328258698-10064</_dlc_DocId>
    <_dlc_DocIdUrl xmlns="71c5aaf6-e6ce-465b-b873-5148d2a4c105">
      <Url>https://nokia.sharepoint.com/sites/c5g/5gradio/_layouts/15/DocIdRedir.aspx?ID=5AIRPNAIUNRU-1328258698-10064</Url>
      <Description>5AIRPNAIUNRU-1328258698-10064</Description>
    </_dlc_DocIdUrl>
    <HideFromDelve xmlns="71c5aaf6-e6ce-465b-b873-5148d2a4c105">false</HideFromDelve>
    <Information xmlns="3b34c8f0-1ef5-4d1e-bb66-517ce7fe7356" xsi:nil="true"/>
    <Associated_x0020_Task xmlns="3b34c8f0-1ef5-4d1e-bb66-517ce7fe7356" xsi:nil="true"/>
    <SharedWithUsers xmlns="3b34c8f0-1ef5-4d1e-bb66-517ce7fe7356">
      <UserInfo>
        <DisplayName>Siddavaatam, Richa (Nokia - US/Naperville)</DisplayName>
        <AccountId>36162</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ECC124-B392-4C95-9F85-B4D23FD1B4F5}">
  <ds:schemaRefs>
    <ds:schemaRef ds:uri="Microsoft.SharePoint.Taxonomy.ContentTypeSync"/>
  </ds:schemaRefs>
</ds:datastoreItem>
</file>

<file path=customXml/itemProps2.xml><?xml version="1.0" encoding="utf-8"?>
<ds:datastoreItem xmlns:ds="http://schemas.openxmlformats.org/officeDocument/2006/customXml" ds:itemID="{0712309D-83C6-4849-B669-37A8BE341633}">
  <ds:schemaRefs>
    <ds:schemaRef ds:uri="http://schemas.microsoft.com/sharepoint/events"/>
  </ds:schemaRefs>
</ds:datastoreItem>
</file>

<file path=customXml/itemProps3.xml><?xml version="1.0" encoding="utf-8"?>
<ds:datastoreItem xmlns:ds="http://schemas.openxmlformats.org/officeDocument/2006/customXml" ds:itemID="{3B48FCE3-68CF-4FF7-BB2F-28604079C84B}">
  <ds:schemaRefs>
    <ds:schemaRef ds:uri="http://schemas.openxmlformats.org/officeDocument/2006/bibliography"/>
  </ds:schemaRefs>
</ds:datastoreItem>
</file>

<file path=customXml/itemProps4.xml><?xml version="1.0" encoding="utf-8"?>
<ds:datastoreItem xmlns:ds="http://schemas.openxmlformats.org/officeDocument/2006/customXml" ds:itemID="{B14829F2-9661-4C4E-837B-D3224572E0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49CAF76-F304-499F-AE8E-21D5E558C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AFAA01-F4F5-4602-B817-3A084B5EB25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Yoon, Daejung (Nokia - FR/Paris-Saclay)</dc:creator>
  <keywords/>
  <dc:description/>
  <lastModifiedBy>Yoon, Daejung (Nokia - FR/Paris-Saclay)</lastModifiedBy>
  <revision>9</revision>
  <dcterms:created xsi:type="dcterms:W3CDTF">2022-02-14T04:14:00.0000000Z</dcterms:created>
  <dcterms:modified xsi:type="dcterms:W3CDTF">2022-02-14T16:23:21.9778636Z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aa62b5e3-177a-41de-bb35-90842f248713</vt:lpwstr>
  </property>
</Properties>
</file>